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678B" w14:textId="7173D11C" w:rsidR="009F44A8" w:rsidRDefault="00B765CE">
      <w:r>
        <w:rPr>
          <w:b/>
          <w:bCs/>
        </w:rPr>
        <w:t xml:space="preserve">SDN </w:t>
      </w:r>
      <w:r w:rsidR="00630896" w:rsidRPr="00B765CE">
        <w:rPr>
          <w:b/>
          <w:bCs/>
        </w:rPr>
        <w:t>Richtlijn IFALD</w:t>
      </w:r>
      <w:r w:rsidR="005901A7" w:rsidRPr="00B765CE">
        <w:rPr>
          <w:b/>
          <w:bCs/>
        </w:rPr>
        <w:t xml:space="preserve"> (gebaseerd op ESPEN richtlijn 2023</w:t>
      </w:r>
      <w:r w:rsidR="00A34034">
        <w:rPr>
          <w:b/>
          <w:bCs/>
        </w:rPr>
        <w:t xml:space="preserve"> en </w:t>
      </w:r>
      <w:proofErr w:type="spellStart"/>
      <w:r w:rsidR="00A34034">
        <w:rPr>
          <w:b/>
          <w:bCs/>
        </w:rPr>
        <w:t>position</w:t>
      </w:r>
      <w:proofErr w:type="spellEnd"/>
      <w:r w:rsidR="00A34034">
        <w:rPr>
          <w:b/>
          <w:bCs/>
        </w:rPr>
        <w:t xml:space="preserve"> paper ESPEN-HAN/CIF 2018</w:t>
      </w:r>
      <w:r w:rsidR="005901A7">
        <w:t>)</w:t>
      </w:r>
      <w:r w:rsidR="00A12035">
        <w:t>; indien afwijkend</w:t>
      </w:r>
      <w:r w:rsidR="00613DF4">
        <w:t xml:space="preserve"> wordt vermeld</w:t>
      </w:r>
      <w:r w:rsidR="00A12035">
        <w:t>:</w:t>
      </w:r>
      <w:r w:rsidR="00E93DF7">
        <w:t xml:space="preserve"> </w:t>
      </w:r>
      <w:r w:rsidR="00A12035">
        <w:t>”voorstel”</w:t>
      </w:r>
    </w:p>
    <w:p w14:paraId="6B7F2B6C" w14:textId="77777777" w:rsidR="00A12035" w:rsidRDefault="00A12035"/>
    <w:p w14:paraId="780DA74C" w14:textId="24B43CF1" w:rsidR="00F815B8" w:rsidRPr="00F815B8" w:rsidRDefault="00F815B8">
      <w:pPr>
        <w:rPr>
          <w:b/>
          <w:bCs/>
        </w:rPr>
      </w:pPr>
      <w:r w:rsidRPr="00F815B8">
        <w:rPr>
          <w:b/>
          <w:bCs/>
        </w:rPr>
        <w:t>Inleiding</w:t>
      </w:r>
    </w:p>
    <w:p w14:paraId="1034A902" w14:textId="5626EA2C" w:rsidR="0032508A" w:rsidRDefault="00126445" w:rsidP="00AA603C">
      <w:pPr>
        <w:spacing w:line="360" w:lineRule="auto"/>
      </w:pPr>
      <w:r>
        <w:t xml:space="preserve">Er </w:t>
      </w:r>
      <w:r w:rsidR="005901A7">
        <w:t>is op dit moment geen uniforme definitie v</w:t>
      </w:r>
      <w:r w:rsidR="00613DF4">
        <w:t>oor</w:t>
      </w:r>
      <w:r w:rsidR="005901A7">
        <w:t xml:space="preserve"> IFALD</w:t>
      </w:r>
      <w:r w:rsidR="00F035E8">
        <w:t xml:space="preserve">: </w:t>
      </w:r>
      <w:r w:rsidR="008329E2">
        <w:t xml:space="preserve"> ve</w:t>
      </w:r>
      <w:r w:rsidR="0032508A">
        <w:t>elgebruikte definities zijn</w:t>
      </w:r>
      <w:r w:rsidR="005A3147">
        <w:t xml:space="preserve"> </w:t>
      </w:r>
      <w:r w:rsidR="00AC1205">
        <w:t>(</w:t>
      </w:r>
      <w:proofErr w:type="spellStart"/>
      <w:r w:rsidR="00AC1205">
        <w:t>Tabone</w:t>
      </w:r>
      <w:proofErr w:type="spellEnd"/>
      <w:r w:rsidR="00AC1205">
        <w:t xml:space="preserve"> et al)</w:t>
      </w:r>
    </w:p>
    <w:p w14:paraId="16F52A6A" w14:textId="44753D83" w:rsidR="007035E2" w:rsidRDefault="007035E2" w:rsidP="00AA603C">
      <w:pPr>
        <w:spacing w:line="360" w:lineRule="auto"/>
      </w:pPr>
      <w:r>
        <w:t>IFALD niet geclassificeerd:</w:t>
      </w:r>
      <w:r w:rsidR="00C15051">
        <w:t xml:space="preserve"> </w:t>
      </w:r>
      <w:proofErr w:type="spellStart"/>
      <w:r w:rsidR="00C15051">
        <w:t>Luman</w:t>
      </w:r>
      <w:proofErr w:type="spellEnd"/>
      <w:r w:rsidR="00C15051">
        <w:t xml:space="preserve"> </w:t>
      </w:r>
      <w:r w:rsidR="00C15051">
        <w:tab/>
      </w:r>
      <w:r w:rsidR="007846E4">
        <w:t xml:space="preserve"> </w:t>
      </w:r>
      <w:r w:rsidR="00FD54EC">
        <w:t xml:space="preserve">Een van </w:t>
      </w:r>
      <w:proofErr w:type="spellStart"/>
      <w:r w:rsidR="00FD54EC">
        <w:t>gGT</w:t>
      </w:r>
      <w:proofErr w:type="spellEnd"/>
      <w:r w:rsidR="00FD54EC">
        <w:t>, AF, ALT, AST &gt;= 1.5 ULN</w:t>
      </w:r>
      <w:r w:rsidR="00194D4A">
        <w:t xml:space="preserve"> na &gt; 6 </w:t>
      </w:r>
      <w:proofErr w:type="spellStart"/>
      <w:r w:rsidR="00194D4A">
        <w:t>mnd</w:t>
      </w:r>
      <w:proofErr w:type="spellEnd"/>
      <w:r w:rsidR="00194D4A">
        <w:t xml:space="preserve"> TPV</w:t>
      </w:r>
      <w:r>
        <w:tab/>
      </w:r>
    </w:p>
    <w:p w14:paraId="3FB1D7C3" w14:textId="421370E2" w:rsidR="0032508A" w:rsidRDefault="0032508A" w:rsidP="00AA603C">
      <w:pPr>
        <w:spacing w:line="360" w:lineRule="auto"/>
      </w:pPr>
      <w:r w:rsidRPr="00C20C97">
        <w:t xml:space="preserve">IFALD cholestase: </w:t>
      </w:r>
      <w:proofErr w:type="spellStart"/>
      <w:r w:rsidRPr="00C20C97">
        <w:t>Cavicchi</w:t>
      </w:r>
      <w:proofErr w:type="spellEnd"/>
      <w:r w:rsidR="007846E4">
        <w:tab/>
      </w:r>
      <w:r w:rsidRPr="00C20C97">
        <w:tab/>
      </w:r>
      <w:r w:rsidR="00C20C97" w:rsidRPr="00C20C97">
        <w:t>&gt;1.5U</w:t>
      </w:r>
      <w:r w:rsidR="00C20C97">
        <w:t xml:space="preserve">LN van 2 van </w:t>
      </w:r>
      <w:proofErr w:type="spellStart"/>
      <w:r w:rsidR="00C20C97">
        <w:t>gGT</w:t>
      </w:r>
      <w:proofErr w:type="spellEnd"/>
      <w:r w:rsidR="00C20C97">
        <w:t xml:space="preserve">, AF, geconjugeerd </w:t>
      </w:r>
      <w:proofErr w:type="spellStart"/>
      <w:r w:rsidR="00C20C97">
        <w:t>bili</w:t>
      </w:r>
      <w:proofErr w:type="spellEnd"/>
      <w:r w:rsidR="00C20C97">
        <w:t xml:space="preserve"> &gt;</w:t>
      </w:r>
      <w:r w:rsidR="0033627C">
        <w:t xml:space="preserve">= 6 </w:t>
      </w:r>
      <w:proofErr w:type="spellStart"/>
      <w:r w:rsidR="0033627C">
        <w:t>mnd</w:t>
      </w:r>
      <w:proofErr w:type="spellEnd"/>
    </w:p>
    <w:p w14:paraId="5FED8A70" w14:textId="1BEA84D2" w:rsidR="0033627C" w:rsidRDefault="0033627C" w:rsidP="00AA603C">
      <w:pPr>
        <w:spacing w:line="360" w:lineRule="auto"/>
      </w:pPr>
      <w:r w:rsidRPr="00B556FF">
        <w:t>IFALD steatose: AAR Index:</w:t>
      </w:r>
      <w:r w:rsidRPr="00B556FF">
        <w:tab/>
      </w:r>
      <w:r w:rsidRPr="00B556FF">
        <w:tab/>
        <w:t>AST/ALT</w:t>
      </w:r>
      <w:r w:rsidR="00B556FF" w:rsidRPr="00B556FF">
        <w:t xml:space="preserve"> ratio &lt; 1 als AST en</w:t>
      </w:r>
      <w:r w:rsidR="00332CC7">
        <w:t xml:space="preserve"> </w:t>
      </w:r>
      <w:r w:rsidR="00B556FF">
        <w:t>ALT &gt; ULN</w:t>
      </w:r>
    </w:p>
    <w:p w14:paraId="4FD6329A" w14:textId="70815472" w:rsidR="00B556FF" w:rsidRDefault="00B556FF" w:rsidP="00AA603C">
      <w:pPr>
        <w:spacing w:line="360" w:lineRule="auto"/>
        <w:rPr>
          <w:lang w:val="en-US"/>
        </w:rPr>
      </w:pPr>
      <w:r w:rsidRPr="00824ABF">
        <w:rPr>
          <w:lang w:val="en-US"/>
        </w:rPr>
        <w:t>IFALD fibrose:</w:t>
      </w:r>
      <w:r w:rsidRPr="00824ABF">
        <w:rPr>
          <w:lang w:val="en-US"/>
        </w:rPr>
        <w:tab/>
      </w:r>
      <w:r w:rsidR="00824ABF" w:rsidRPr="00824ABF">
        <w:rPr>
          <w:lang w:val="en-US"/>
        </w:rPr>
        <w:t xml:space="preserve">APRI index: </w:t>
      </w:r>
      <w:r w:rsidR="00824ABF" w:rsidRPr="00824ABF">
        <w:rPr>
          <w:lang w:val="en-US"/>
        </w:rPr>
        <w:tab/>
      </w:r>
      <w:r w:rsidR="007035E2">
        <w:rPr>
          <w:lang w:val="en-US"/>
        </w:rPr>
        <w:tab/>
      </w:r>
      <w:r w:rsidR="00824ABF" w:rsidRPr="00824ABF">
        <w:rPr>
          <w:lang w:val="en-US"/>
        </w:rPr>
        <w:t>AP</w:t>
      </w:r>
      <w:r w:rsidR="00824ABF">
        <w:rPr>
          <w:lang w:val="en-US"/>
        </w:rPr>
        <w:t>RI = [</w:t>
      </w:r>
      <w:r w:rsidR="006E6573">
        <w:rPr>
          <w:lang w:val="en-US"/>
        </w:rPr>
        <w:t>((AST/ULN</w:t>
      </w:r>
      <w:r w:rsidR="00E744D7">
        <w:rPr>
          <w:lang w:val="en-US"/>
        </w:rPr>
        <w:t xml:space="preserve"> AST) x 100)</w:t>
      </w:r>
      <w:r w:rsidR="002A76C6">
        <w:rPr>
          <w:lang w:val="en-US"/>
        </w:rPr>
        <w:t>/PLT 10</w:t>
      </w:r>
      <w:r w:rsidR="002A76C6" w:rsidRPr="002A76C6">
        <w:rPr>
          <w:vertAlign w:val="superscript"/>
          <w:lang w:val="en-US"/>
        </w:rPr>
        <w:t>9</w:t>
      </w:r>
      <w:r w:rsidR="002A76C6">
        <w:rPr>
          <w:lang w:val="en-US"/>
        </w:rPr>
        <w:t>/L)] &gt; 0.88</w:t>
      </w:r>
    </w:p>
    <w:p w14:paraId="10BCCD1B" w14:textId="43DA735E" w:rsidR="0032508A" w:rsidRDefault="002A76C6" w:rsidP="00AA603C">
      <w:pPr>
        <w:spacing w:line="360" w:lineRule="auto"/>
      </w:pPr>
      <w:r>
        <w:rPr>
          <w:lang w:val="en-US"/>
        </w:rPr>
        <w:tab/>
      </w:r>
      <w:r>
        <w:rPr>
          <w:lang w:val="en-US"/>
        </w:rPr>
        <w:tab/>
      </w:r>
      <w:r w:rsidRPr="00D50D1B">
        <w:t>FIB-4 index:</w:t>
      </w:r>
      <w:r w:rsidRPr="00D50D1B">
        <w:tab/>
      </w:r>
      <w:r w:rsidR="007035E2">
        <w:tab/>
      </w:r>
      <w:r w:rsidR="00D50D1B" w:rsidRPr="00D50D1B">
        <w:t>Leeftijd (</w:t>
      </w:r>
      <w:proofErr w:type="spellStart"/>
      <w:r w:rsidR="00D50D1B" w:rsidRPr="00D50D1B">
        <w:t>jr</w:t>
      </w:r>
      <w:proofErr w:type="spellEnd"/>
      <w:r w:rsidR="00D50D1B" w:rsidRPr="00D50D1B">
        <w:t>) x</w:t>
      </w:r>
      <w:r w:rsidR="00D50D1B">
        <w:t xml:space="preserve"> AST/[PLT (10</w:t>
      </w:r>
      <w:r w:rsidR="003720AC" w:rsidRPr="003720AC">
        <w:rPr>
          <w:vertAlign w:val="superscript"/>
        </w:rPr>
        <w:t>9</w:t>
      </w:r>
      <w:r w:rsidR="003720AC">
        <w:t>)</w:t>
      </w:r>
      <w:r w:rsidR="00C15051">
        <w:t xml:space="preserve"> </w:t>
      </w:r>
      <w:r w:rsidR="003720AC">
        <w:t xml:space="preserve">x ALT </w:t>
      </w:r>
      <w:r w:rsidR="003720AC" w:rsidRPr="008329E2">
        <w:rPr>
          <w:vertAlign w:val="superscript"/>
        </w:rPr>
        <w:t>½</w:t>
      </w:r>
      <w:r w:rsidR="003720AC">
        <w:t>]; fibrose &gt; 2.67</w:t>
      </w:r>
    </w:p>
    <w:p w14:paraId="5FCA9586" w14:textId="6A56DF6B" w:rsidR="00AC1205" w:rsidRDefault="00AC1205" w:rsidP="00AA603C">
      <w:pPr>
        <w:spacing w:line="360" w:lineRule="auto"/>
        <w:rPr>
          <w:lang w:val="en-US"/>
        </w:rPr>
      </w:pPr>
      <w:r w:rsidRPr="00AC1205">
        <w:rPr>
          <w:lang w:val="en-US"/>
        </w:rPr>
        <w:t>IFALD survival: MESIF score (</w:t>
      </w:r>
      <w:proofErr w:type="spellStart"/>
      <w:r w:rsidRPr="00AC1205">
        <w:rPr>
          <w:lang w:val="en-US"/>
        </w:rPr>
        <w:t>K</w:t>
      </w:r>
      <w:r>
        <w:rPr>
          <w:lang w:val="en-US"/>
        </w:rPr>
        <w:t>oelfat</w:t>
      </w:r>
      <w:proofErr w:type="spellEnd"/>
      <w:r w:rsidR="004D4C07">
        <w:rPr>
          <w:lang w:val="en-US"/>
        </w:rPr>
        <w:t xml:space="preserve"> en Huijbers</w:t>
      </w:r>
      <w:r>
        <w:rPr>
          <w:lang w:val="en-US"/>
        </w:rPr>
        <w:t>)</w:t>
      </w:r>
    </w:p>
    <w:p w14:paraId="225A5DFB" w14:textId="5057AF43" w:rsidR="00AC1205" w:rsidRDefault="00AC1205" w:rsidP="00AA603C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83D8F">
        <w:rPr>
          <w:lang w:val="en-US"/>
        </w:rPr>
        <w:tab/>
      </w:r>
      <w:r w:rsidR="00437C5B">
        <w:rPr>
          <w:lang w:val="en-US"/>
        </w:rPr>
        <w:t>(12.05 x citrulline)) + (12.09 x FGF</w:t>
      </w:r>
      <w:r w:rsidR="00EC6BC3">
        <w:rPr>
          <w:lang w:val="en-US"/>
        </w:rPr>
        <w:t xml:space="preserve">19) + (3.29 x </w:t>
      </w:r>
      <w:proofErr w:type="spellStart"/>
      <w:r w:rsidR="00EC6BC3">
        <w:rPr>
          <w:lang w:val="en-US"/>
        </w:rPr>
        <w:t>frequentie</w:t>
      </w:r>
      <w:proofErr w:type="spellEnd"/>
      <w:r w:rsidR="00EC6BC3">
        <w:rPr>
          <w:lang w:val="en-US"/>
        </w:rPr>
        <w:t xml:space="preserve"> TPV/</w:t>
      </w:r>
      <w:proofErr w:type="spellStart"/>
      <w:r w:rsidR="00EC6BC3">
        <w:rPr>
          <w:lang w:val="en-US"/>
        </w:rPr>
        <w:t>wk</w:t>
      </w:r>
      <w:proofErr w:type="spellEnd"/>
      <w:r w:rsidR="00EC6BC3">
        <w:rPr>
          <w:lang w:val="en-US"/>
        </w:rPr>
        <w:t>)</w:t>
      </w:r>
    </w:p>
    <w:p w14:paraId="093D8BE9" w14:textId="3CE0AEAB" w:rsidR="00EC6BC3" w:rsidRDefault="00EC6BC3" w:rsidP="00AA603C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83D8F">
        <w:rPr>
          <w:lang w:val="en-US"/>
        </w:rPr>
        <w:tab/>
      </w:r>
      <w:r w:rsidR="00F735BF">
        <w:rPr>
          <w:lang w:val="en-US"/>
        </w:rPr>
        <w:t>3</w:t>
      </w:r>
      <w:r w:rsidR="002A089A">
        <w:rPr>
          <w:lang w:val="en-US"/>
        </w:rPr>
        <w:t xml:space="preserve"> </w:t>
      </w:r>
      <w:r w:rsidR="00F735BF">
        <w:rPr>
          <w:lang w:val="en-US"/>
        </w:rPr>
        <w:t>- &lt;= 20: low risk</w:t>
      </w:r>
      <w:r w:rsidR="00F735BF">
        <w:rPr>
          <w:lang w:val="en-US"/>
        </w:rPr>
        <w:tab/>
        <w:t>20-40 inter</w:t>
      </w:r>
      <w:r w:rsidR="006D1BA2">
        <w:rPr>
          <w:lang w:val="en-US"/>
        </w:rPr>
        <w:t>m</w:t>
      </w:r>
      <w:r w:rsidR="00F735BF">
        <w:rPr>
          <w:lang w:val="en-US"/>
        </w:rPr>
        <w:t>ediate</w:t>
      </w:r>
      <w:r w:rsidR="00F735BF">
        <w:rPr>
          <w:lang w:val="en-US"/>
        </w:rPr>
        <w:tab/>
        <w:t>&gt; 40</w:t>
      </w:r>
      <w:r w:rsidR="006D1BA2">
        <w:rPr>
          <w:lang w:val="en-US"/>
        </w:rPr>
        <w:t xml:space="preserve"> high risk</w:t>
      </w:r>
    </w:p>
    <w:p w14:paraId="5F96062F" w14:textId="1299B56F" w:rsidR="006D1BA2" w:rsidRPr="00AC1205" w:rsidRDefault="006D1BA2" w:rsidP="002A089A">
      <w:pPr>
        <w:spacing w:line="360" w:lineRule="auto"/>
        <w:ind w:firstLine="708"/>
        <w:rPr>
          <w:lang w:val="en-US"/>
        </w:rPr>
      </w:pPr>
      <w:r>
        <w:rPr>
          <w:lang w:val="en-US"/>
        </w:rPr>
        <w:t>Survival</w:t>
      </w:r>
      <w:r w:rsidR="00783D8F">
        <w:rPr>
          <w:lang w:val="en-US"/>
        </w:rPr>
        <w:t xml:space="preserve"> 5-yr</w:t>
      </w:r>
      <w:r>
        <w:rPr>
          <w:lang w:val="en-US"/>
        </w:rPr>
        <w:tab/>
      </w:r>
      <w:r w:rsidR="00783D8F">
        <w:rPr>
          <w:lang w:val="en-US"/>
        </w:rPr>
        <w:t>80%</w:t>
      </w:r>
      <w:r w:rsidR="00783D8F">
        <w:rPr>
          <w:lang w:val="en-US"/>
        </w:rPr>
        <w:tab/>
      </w:r>
      <w:r w:rsidR="00783D8F">
        <w:rPr>
          <w:lang w:val="en-US"/>
        </w:rPr>
        <w:tab/>
      </w:r>
      <w:r w:rsidR="00783D8F">
        <w:rPr>
          <w:lang w:val="en-US"/>
        </w:rPr>
        <w:tab/>
        <w:t>58%</w:t>
      </w:r>
      <w:r w:rsidR="00783D8F">
        <w:rPr>
          <w:lang w:val="en-US"/>
        </w:rPr>
        <w:tab/>
      </w:r>
      <w:r w:rsidR="00783D8F">
        <w:rPr>
          <w:lang w:val="en-US"/>
        </w:rPr>
        <w:tab/>
      </w:r>
      <w:r w:rsidR="00783D8F">
        <w:rPr>
          <w:lang w:val="en-US"/>
        </w:rPr>
        <w:tab/>
        <w:t>14%</w:t>
      </w:r>
    </w:p>
    <w:p w14:paraId="4B588908" w14:textId="77777777" w:rsidR="00AC1205" w:rsidRPr="00AC1205" w:rsidRDefault="00AC1205" w:rsidP="00AA603C">
      <w:pPr>
        <w:spacing w:line="360" w:lineRule="auto"/>
        <w:rPr>
          <w:lang w:val="en-US"/>
        </w:rPr>
      </w:pPr>
    </w:p>
    <w:p w14:paraId="73418A5B" w14:textId="7EA826C5" w:rsidR="00A842C6" w:rsidRDefault="0032508A" w:rsidP="00AA603C">
      <w:pPr>
        <w:spacing w:line="360" w:lineRule="auto"/>
      </w:pPr>
      <w:r>
        <w:t xml:space="preserve">IFALD </w:t>
      </w:r>
      <w:r w:rsidR="00CC7945">
        <w:t xml:space="preserve">betreft leverlijden </w:t>
      </w:r>
      <w:r w:rsidR="00F035E8">
        <w:t xml:space="preserve">gerelateerd aan </w:t>
      </w:r>
      <w:proofErr w:type="spellStart"/>
      <w:r w:rsidR="00F035E8">
        <w:t>darmfalen</w:t>
      </w:r>
      <w:proofErr w:type="spellEnd"/>
      <w:r w:rsidR="00CC7945">
        <w:t xml:space="preserve">, maar ook aan gebruik van </w:t>
      </w:r>
      <w:r w:rsidR="00F035E8">
        <w:t>TPV</w:t>
      </w:r>
      <w:r w:rsidR="00CC7945">
        <w:t xml:space="preserve"> en wordt medebepaald door </w:t>
      </w:r>
      <w:r w:rsidR="0003366D">
        <w:t xml:space="preserve">leverfunctiestoornissen als gevolg </w:t>
      </w:r>
      <w:r w:rsidR="00586FD3">
        <w:t xml:space="preserve">van </w:t>
      </w:r>
      <w:r w:rsidR="00CC7945">
        <w:t xml:space="preserve">andere factoren: met name </w:t>
      </w:r>
      <w:r w:rsidR="00617636">
        <w:t>sepsis</w:t>
      </w:r>
      <w:r w:rsidR="00CC7945">
        <w:t xml:space="preserve"> en ontsteking</w:t>
      </w:r>
      <w:r w:rsidR="00617636">
        <w:t>, gebrek aan enterale voeding</w:t>
      </w:r>
      <w:r w:rsidR="00F17823">
        <w:t xml:space="preserve">, </w:t>
      </w:r>
      <w:r w:rsidR="00CC7945">
        <w:t xml:space="preserve">een </w:t>
      </w:r>
      <w:r w:rsidR="00F17823">
        <w:t>korte resterende dun</w:t>
      </w:r>
      <w:r w:rsidR="00CC7945">
        <w:t xml:space="preserve">ne </w:t>
      </w:r>
      <w:r w:rsidR="00F17823">
        <w:t xml:space="preserve">darm, </w:t>
      </w:r>
      <w:r w:rsidR="00CC7945">
        <w:t>afwezigheid van continuïteit</w:t>
      </w:r>
      <w:r w:rsidR="00F17823">
        <w:t xml:space="preserve"> met </w:t>
      </w:r>
      <w:r w:rsidR="00CC7945">
        <w:t xml:space="preserve">het </w:t>
      </w:r>
      <w:r w:rsidR="00F17823">
        <w:t>colon</w:t>
      </w:r>
      <w:r w:rsidR="0067182C">
        <w:t xml:space="preserve">. Voor </w:t>
      </w:r>
      <w:r w:rsidR="00586FD3">
        <w:t xml:space="preserve">wat betreft </w:t>
      </w:r>
      <w:r w:rsidR="002A7D4A">
        <w:t>TPV</w:t>
      </w:r>
      <w:r w:rsidR="00586FD3">
        <w:t xml:space="preserve"> </w:t>
      </w:r>
      <w:r w:rsidR="002A7D4A">
        <w:t xml:space="preserve"> </w:t>
      </w:r>
      <w:r w:rsidR="0067182C">
        <w:t xml:space="preserve">gaat het daarnaast om </w:t>
      </w:r>
      <w:r w:rsidR="002A7D4A">
        <w:t>overvoeden</w:t>
      </w:r>
      <w:r w:rsidR="00586FD3">
        <w:t xml:space="preserve"> (</w:t>
      </w:r>
      <w:proofErr w:type="spellStart"/>
      <w:r w:rsidR="00DE5FAC">
        <w:t>mn</w:t>
      </w:r>
      <w:proofErr w:type="spellEnd"/>
      <w:r w:rsidR="00CC7945">
        <w:t xml:space="preserve"> </w:t>
      </w:r>
      <w:r w:rsidR="001C7E90">
        <w:t>glucose en vetten</w:t>
      </w:r>
      <w:r w:rsidR="003B0941">
        <w:t>)</w:t>
      </w:r>
      <w:r w:rsidR="001C7E90">
        <w:t xml:space="preserve"> </w:t>
      </w:r>
      <w:r w:rsidR="00CC7945">
        <w:t xml:space="preserve">en </w:t>
      </w:r>
      <w:r w:rsidR="003B0941">
        <w:t>de samenstelling waarbij niet meer dan 1 gram vet/kg/dag wordt geadviseerd</w:t>
      </w:r>
      <w:r w:rsidR="00D0481C">
        <w:t xml:space="preserve"> </w:t>
      </w:r>
      <w:r w:rsidR="00DE5FAC">
        <w:t>en</w:t>
      </w:r>
      <w:r w:rsidR="006051F1">
        <w:t xml:space="preserve"> liefst </w:t>
      </w:r>
      <w:r w:rsidR="00D0481C">
        <w:t xml:space="preserve">vetemulsies met een lage n-6/n-3 ratio, dus </w:t>
      </w:r>
      <w:r w:rsidR="000B760E">
        <w:t xml:space="preserve">niet </w:t>
      </w:r>
      <w:r w:rsidR="002334EA">
        <w:t xml:space="preserve">alleen </w:t>
      </w:r>
      <w:r w:rsidR="001C7E90">
        <w:t>op soja basis</w:t>
      </w:r>
      <w:r w:rsidR="00725080">
        <w:t xml:space="preserve">. </w:t>
      </w:r>
      <w:r w:rsidR="0070585A">
        <w:t>T</w:t>
      </w:r>
      <w:r w:rsidR="0070585A" w:rsidRPr="00630896">
        <w:t xml:space="preserve">wee reviews (Kirk 2022 en Ahmed 2021) </w:t>
      </w:r>
      <w:r w:rsidR="0070585A">
        <w:t>evalueerden effecten van vetemulsies op klinische en laboratorium parameters</w:t>
      </w:r>
      <w:r w:rsidR="007D4CAF">
        <w:t xml:space="preserve"> en</w:t>
      </w:r>
      <w:r w:rsidR="0070585A">
        <w:t xml:space="preserve"> </w:t>
      </w:r>
      <w:r w:rsidR="0070585A" w:rsidRPr="00630896">
        <w:t>concluderen dat</w:t>
      </w:r>
      <w:r w:rsidR="0070585A">
        <w:t xml:space="preserve"> gemengde vetemulsies goed worden verdragen. Emulsies met olijfolie en/of visolie laten minimale verbeteringen zien in leverfuncties en FA profiel zonder effect op inflammatie</w:t>
      </w:r>
      <w:r w:rsidR="007D4CAF">
        <w:t xml:space="preserve"> waarbij</w:t>
      </w:r>
      <w:r w:rsidR="0070585A">
        <w:t xml:space="preserve"> </w:t>
      </w:r>
      <w:r w:rsidR="007D4CAF">
        <w:t xml:space="preserve">geen van allen </w:t>
      </w:r>
      <w:r w:rsidR="0070585A">
        <w:t>superi</w:t>
      </w:r>
      <w:r w:rsidR="007D4CAF">
        <w:t>eur is.</w:t>
      </w:r>
      <w:r w:rsidR="00AA603C">
        <w:t xml:space="preserve"> </w:t>
      </w:r>
      <w:r w:rsidR="000B760E">
        <w:t>Ook c</w:t>
      </w:r>
      <w:r w:rsidR="002A7D4A">
        <w:t xml:space="preserve">yclisch </w:t>
      </w:r>
      <w:r w:rsidR="00725080">
        <w:t xml:space="preserve">geven van </w:t>
      </w:r>
      <w:r w:rsidR="002A7D4A">
        <w:t>TPV</w:t>
      </w:r>
      <w:r w:rsidR="00725080">
        <w:t xml:space="preserve"> werkt preventief. A</w:t>
      </w:r>
      <w:r w:rsidR="002334EA">
        <w:t xml:space="preserve">ndere </w:t>
      </w:r>
      <w:r w:rsidR="008F62CF">
        <w:t>primaire leverpathologie (viraal, auto-immuun) of hepatotoxische factoren</w:t>
      </w:r>
      <w:r w:rsidR="00CC7945">
        <w:t xml:space="preserve"> (alcohol, medicatie) of biliaire obstructie</w:t>
      </w:r>
      <w:r w:rsidR="00536B03" w:rsidRPr="00536B03">
        <w:t xml:space="preserve"> </w:t>
      </w:r>
      <w:r w:rsidR="00725080">
        <w:t>(bi</w:t>
      </w:r>
      <w:r w:rsidR="00EF56D0">
        <w:t>l</w:t>
      </w:r>
      <w:r w:rsidR="00725080">
        <w:t xml:space="preserve">iaire stenen of </w:t>
      </w:r>
      <w:proofErr w:type="spellStart"/>
      <w:r w:rsidR="00725080">
        <w:t>sludge</w:t>
      </w:r>
      <w:proofErr w:type="spellEnd"/>
      <w:r w:rsidR="00725080">
        <w:t>) m</w:t>
      </w:r>
      <w:r w:rsidR="00214003">
        <w:t>oet worden uitgesloten</w:t>
      </w:r>
      <w:r w:rsidR="00A842C6">
        <w:t>.</w:t>
      </w:r>
    </w:p>
    <w:p w14:paraId="736C2D6A" w14:textId="21C2AD5C" w:rsidR="00893211" w:rsidRDefault="00536B03" w:rsidP="00AA603C">
      <w:pPr>
        <w:spacing w:line="360" w:lineRule="auto"/>
      </w:pPr>
      <w:r>
        <w:lastRenderedPageBreak/>
        <w:t>Hogere TPV behoefte en lage enterale int</w:t>
      </w:r>
      <w:r w:rsidR="00D80C28">
        <w:t>a</w:t>
      </w:r>
      <w:r>
        <w:t xml:space="preserve">ke </w:t>
      </w:r>
      <w:r w:rsidR="00632D82">
        <w:t xml:space="preserve">lijken bijdragend aan het ontstaan van </w:t>
      </w:r>
      <w:r>
        <w:t xml:space="preserve">IFALD </w:t>
      </w:r>
      <w:r w:rsidR="00910F77">
        <w:t>z</w:t>
      </w:r>
      <w:r w:rsidR="00E05D22">
        <w:t xml:space="preserve">oals </w:t>
      </w:r>
      <w:r w:rsidR="00E66F42">
        <w:t xml:space="preserve">blijkt uit </w:t>
      </w:r>
      <w:r w:rsidR="00B9293E">
        <w:t xml:space="preserve">het positieve effect van </w:t>
      </w:r>
      <w:r>
        <w:t xml:space="preserve">herstel </w:t>
      </w:r>
      <w:r w:rsidR="00910F77">
        <w:t xml:space="preserve">van de </w:t>
      </w:r>
      <w:r>
        <w:t xml:space="preserve">enterohepatische kringloop </w:t>
      </w:r>
      <w:r w:rsidR="00B9293E">
        <w:t>(</w:t>
      </w:r>
      <w:r>
        <w:t>BA-FGF19</w:t>
      </w:r>
      <w:r w:rsidR="00171683">
        <w:t>-FXR</w:t>
      </w:r>
      <w:r>
        <w:t xml:space="preserve"> as</w:t>
      </w:r>
      <w:r w:rsidR="00171683">
        <w:t>)</w:t>
      </w:r>
      <w:r w:rsidR="00990D00">
        <w:t>. Een l</w:t>
      </w:r>
      <w:r w:rsidR="00893211">
        <w:t xml:space="preserve">aag plasma </w:t>
      </w:r>
      <w:proofErr w:type="spellStart"/>
      <w:r w:rsidR="00893211">
        <w:t>citrulline</w:t>
      </w:r>
      <w:proofErr w:type="spellEnd"/>
      <w:r w:rsidR="00C72193">
        <w:t xml:space="preserve"> </w:t>
      </w:r>
      <w:r w:rsidR="008942F4">
        <w:t xml:space="preserve">bij short </w:t>
      </w:r>
      <w:proofErr w:type="spellStart"/>
      <w:r w:rsidR="008942F4">
        <w:t>bowel</w:t>
      </w:r>
      <w:proofErr w:type="spellEnd"/>
      <w:r w:rsidR="008942F4">
        <w:t xml:space="preserve"> </w:t>
      </w:r>
      <w:r w:rsidR="00C72193">
        <w:t>door</w:t>
      </w:r>
      <w:r w:rsidR="008942F4">
        <w:t xml:space="preserve"> een geringe </w:t>
      </w:r>
      <w:r w:rsidR="00C72193">
        <w:t xml:space="preserve">resterende </w:t>
      </w:r>
      <w:proofErr w:type="spellStart"/>
      <w:r w:rsidR="00893211">
        <w:t>enterocytenmassa</w:t>
      </w:r>
      <w:proofErr w:type="spellEnd"/>
      <w:r w:rsidR="00893211">
        <w:t xml:space="preserve"> en FGF 19 </w:t>
      </w:r>
      <w:r w:rsidR="00990D00">
        <w:t xml:space="preserve">zijn </w:t>
      </w:r>
      <w:r w:rsidR="00893211">
        <w:t>geassocieerd met cholestase en lagere overleving</w:t>
      </w:r>
      <w:r w:rsidR="00990D00">
        <w:t>.</w:t>
      </w:r>
    </w:p>
    <w:p w14:paraId="2688FB9A" w14:textId="77777777" w:rsidR="00732DAB" w:rsidRDefault="00732DAB"/>
    <w:p w14:paraId="59378AE9" w14:textId="40661038" w:rsidR="002A4DE3" w:rsidRPr="002A4DE3" w:rsidRDefault="002A4DE3">
      <w:pPr>
        <w:rPr>
          <w:b/>
          <w:bCs/>
        </w:rPr>
      </w:pPr>
      <w:r w:rsidRPr="002A4DE3">
        <w:rPr>
          <w:b/>
          <w:bCs/>
        </w:rPr>
        <w:t xml:space="preserve">Diagnose </w:t>
      </w:r>
      <w:r w:rsidR="00331607">
        <w:rPr>
          <w:b/>
          <w:bCs/>
        </w:rPr>
        <w:t xml:space="preserve">en surveillance </w:t>
      </w:r>
      <w:r w:rsidRPr="002A4DE3">
        <w:rPr>
          <w:b/>
          <w:bCs/>
        </w:rPr>
        <w:t>IFALD</w:t>
      </w:r>
    </w:p>
    <w:p w14:paraId="3E9471F7" w14:textId="3FE11161" w:rsidR="002A4DE3" w:rsidRDefault="002A4DE3">
      <w:r>
        <w:t xml:space="preserve">IFALD wordt gekenmerkt door verstoorde leverfuncties en/of radiologische en/of histologische afwijkingen bij een IF </w:t>
      </w:r>
      <w:proofErr w:type="spellStart"/>
      <w:r>
        <w:t>patient</w:t>
      </w:r>
      <w:proofErr w:type="spellEnd"/>
      <w:r>
        <w:t xml:space="preserve"> in afwezigheid van een onderliggende </w:t>
      </w:r>
      <w:proofErr w:type="spellStart"/>
      <w:r>
        <w:t>parenchymateuze</w:t>
      </w:r>
      <w:proofErr w:type="spellEnd"/>
      <w:r>
        <w:t xml:space="preserve"> leveraandoening (bv viraal, </w:t>
      </w:r>
      <w:proofErr w:type="spellStart"/>
      <w:r>
        <w:t>autoimmuun</w:t>
      </w:r>
      <w:proofErr w:type="spellEnd"/>
      <w:r>
        <w:t>) of door hepatotoxische factoren (alcohol, medicatie) of biliaire obstructie. PA is niet vereist voor de diagnose en de beslissing tot het verrichten van een leverbiopt moet op individuele basis worden genomen</w:t>
      </w:r>
      <w:r w:rsidR="00732DAB">
        <w:t xml:space="preserve"> en afgezet tegen risico’s (</w:t>
      </w:r>
      <w:proofErr w:type="spellStart"/>
      <w:r w:rsidR="00732DAB">
        <w:t>mn</w:t>
      </w:r>
      <w:proofErr w:type="spellEnd"/>
      <w:r w:rsidR="00732DAB">
        <w:t xml:space="preserve"> bloeding): histologisch wordt bij IFALD steatose, </w:t>
      </w:r>
      <w:proofErr w:type="spellStart"/>
      <w:r w:rsidR="00732DAB">
        <w:t>portale</w:t>
      </w:r>
      <w:proofErr w:type="spellEnd"/>
      <w:r w:rsidR="00732DAB">
        <w:t xml:space="preserve"> inflammatie; portaal oedeem, </w:t>
      </w:r>
      <w:proofErr w:type="spellStart"/>
      <w:r w:rsidR="00732DAB">
        <w:t>ductopenie</w:t>
      </w:r>
      <w:proofErr w:type="spellEnd"/>
      <w:r w:rsidR="00732DAB">
        <w:t xml:space="preserve"> en </w:t>
      </w:r>
      <w:proofErr w:type="spellStart"/>
      <w:r w:rsidR="00732DAB">
        <w:t>portale</w:t>
      </w:r>
      <w:proofErr w:type="spellEnd"/>
      <w:r w:rsidR="00732DAB">
        <w:t>/</w:t>
      </w:r>
      <w:proofErr w:type="spellStart"/>
      <w:r w:rsidR="00732DAB">
        <w:t>perivenulaire</w:t>
      </w:r>
      <w:proofErr w:type="spellEnd"/>
      <w:r w:rsidR="00732DAB">
        <w:t xml:space="preserve"> fibrose gevonden</w:t>
      </w:r>
      <w:r w:rsidR="00EF0064">
        <w:t xml:space="preserve">. </w:t>
      </w:r>
      <w:proofErr w:type="spellStart"/>
      <w:r w:rsidR="00EF0064">
        <w:t>Elastografie</w:t>
      </w:r>
      <w:proofErr w:type="spellEnd"/>
      <w:r w:rsidR="00EF0064">
        <w:t xml:space="preserve"> (</w:t>
      </w:r>
      <w:proofErr w:type="spellStart"/>
      <w:r w:rsidR="00EF0064">
        <w:t>Fibroscan</w:t>
      </w:r>
      <w:proofErr w:type="spellEnd"/>
      <w:r w:rsidR="00EF0064">
        <w:t>) correleert vooral met cholestase &gt; fibrose; FGF 21 met steatose</w:t>
      </w:r>
    </w:p>
    <w:p w14:paraId="6E12D353" w14:textId="3F082AFF" w:rsidR="00126445" w:rsidRDefault="00331607" w:rsidP="00666CE1">
      <w:pPr>
        <w:pStyle w:val="Lijstalinea"/>
        <w:numPr>
          <w:ilvl w:val="0"/>
          <w:numId w:val="7"/>
        </w:numPr>
      </w:pPr>
      <w:r>
        <w:t>l</w:t>
      </w:r>
      <w:r w:rsidR="0041352D">
        <w:t xml:space="preserve">everfuncties: </w:t>
      </w:r>
      <w:r w:rsidR="003F535C">
        <w:t xml:space="preserve">initieel maandelijks; in stabiele fase a 4 </w:t>
      </w:r>
      <w:proofErr w:type="spellStart"/>
      <w:r w:rsidR="003F535C">
        <w:t>mnd</w:t>
      </w:r>
      <w:proofErr w:type="spellEnd"/>
      <w:r w:rsidR="003F535C">
        <w:t xml:space="preserve"> </w:t>
      </w:r>
      <w:r w:rsidR="00815BB4">
        <w:t xml:space="preserve">: voorstel: a </w:t>
      </w:r>
      <w:r w:rsidR="003F535C">
        <w:t>6</w:t>
      </w:r>
      <w:r w:rsidR="00815BB4">
        <w:t xml:space="preserve"> maanden</w:t>
      </w:r>
      <w:r w:rsidR="00D80C28">
        <w:t xml:space="preserve"> indien stabiel goed (</w:t>
      </w:r>
      <w:r w:rsidR="0064657A">
        <w:t xml:space="preserve">binnen </w:t>
      </w:r>
      <w:r w:rsidR="00D80C28">
        <w:t>UL</w:t>
      </w:r>
      <w:r w:rsidR="0064657A">
        <w:t>N 2x en zonder geelzucht (</w:t>
      </w:r>
      <w:proofErr w:type="spellStart"/>
      <w:r w:rsidR="0064657A">
        <w:t>bili</w:t>
      </w:r>
      <w:proofErr w:type="spellEnd"/>
      <w:r w:rsidR="0064657A">
        <w:t xml:space="preserve"> direct &lt; 20 </w:t>
      </w:r>
      <w:proofErr w:type="spellStart"/>
      <w:r w:rsidR="0064657A">
        <w:t>umol</w:t>
      </w:r>
      <w:proofErr w:type="spellEnd"/>
      <w:r w:rsidR="0064657A">
        <w:t>/l)</w:t>
      </w:r>
    </w:p>
    <w:p w14:paraId="23B34ADD" w14:textId="53F0F08E" w:rsidR="0016539E" w:rsidRDefault="0016539E" w:rsidP="00666CE1">
      <w:pPr>
        <w:pStyle w:val="Lijstalinea"/>
        <w:numPr>
          <w:ilvl w:val="0"/>
          <w:numId w:val="7"/>
        </w:numPr>
      </w:pPr>
      <w:r>
        <w:t xml:space="preserve">Bij afwijkende waarden </w:t>
      </w:r>
      <w:r w:rsidR="00303C2B">
        <w:t>overweeg beeldvorming (echo, MRCP)</w:t>
      </w:r>
    </w:p>
    <w:p w14:paraId="16E7270A" w14:textId="23C279DA" w:rsidR="009F0ACA" w:rsidRDefault="009F0ACA" w:rsidP="00666CE1">
      <w:pPr>
        <w:pStyle w:val="Lijstalinea"/>
        <w:numPr>
          <w:ilvl w:val="0"/>
          <w:numId w:val="7"/>
        </w:numPr>
      </w:pPr>
      <w:r>
        <w:t>Uitsluiten</w:t>
      </w:r>
      <w:r w:rsidR="00407DB3">
        <w:t xml:space="preserve"> hepatotoxische </w:t>
      </w:r>
      <w:proofErr w:type="spellStart"/>
      <w:r w:rsidR="00C248DB">
        <w:t>noxe</w:t>
      </w:r>
      <w:proofErr w:type="spellEnd"/>
      <w:r w:rsidR="00407DB3">
        <w:t xml:space="preserve">, virale hepatitis, metabole oorzaak (a1 antitrypsine </w:t>
      </w:r>
      <w:proofErr w:type="spellStart"/>
      <w:r w:rsidR="00407DB3">
        <w:t>deficien</w:t>
      </w:r>
      <w:r w:rsidR="00C248DB">
        <w:t>tie</w:t>
      </w:r>
      <w:proofErr w:type="spellEnd"/>
      <w:r w:rsidR="00407DB3">
        <w:t>; M. Wilson</w:t>
      </w:r>
      <w:r w:rsidR="00EB3A47">
        <w:t>, hemochromatose)</w:t>
      </w:r>
    </w:p>
    <w:p w14:paraId="59950101" w14:textId="0DDE496B" w:rsidR="00815BB4" w:rsidRDefault="00815BB4" w:rsidP="00666CE1">
      <w:pPr>
        <w:pStyle w:val="Lijstalinea"/>
        <w:numPr>
          <w:ilvl w:val="0"/>
          <w:numId w:val="7"/>
        </w:numPr>
      </w:pPr>
      <w:r>
        <w:t>Echo lever: jaarlijks</w:t>
      </w:r>
      <w:r w:rsidR="006B4DB4">
        <w:t>: voorstel</w:t>
      </w:r>
      <w:r w:rsidR="00A12035">
        <w:t>: op indicatie</w:t>
      </w:r>
      <w:r w:rsidR="008C1F5F">
        <w:t xml:space="preserve"> of a jaar?</w:t>
      </w:r>
      <w:r w:rsidR="006B4DB4">
        <w:t xml:space="preserve"> </w:t>
      </w:r>
    </w:p>
    <w:p w14:paraId="31324D84" w14:textId="77777777" w:rsidR="00C6019E" w:rsidRDefault="00EB3A47" w:rsidP="00C6019E">
      <w:pPr>
        <w:pStyle w:val="Lijstalinea"/>
        <w:numPr>
          <w:ilvl w:val="0"/>
          <w:numId w:val="7"/>
        </w:numPr>
      </w:pPr>
      <w:proofErr w:type="spellStart"/>
      <w:r>
        <w:t>Elastografie</w:t>
      </w:r>
      <w:proofErr w:type="spellEnd"/>
      <w:r>
        <w:t xml:space="preserve"> (</w:t>
      </w:r>
      <w:proofErr w:type="spellStart"/>
      <w:r w:rsidR="00815BB4">
        <w:t>Fibroscan</w:t>
      </w:r>
      <w:proofErr w:type="spellEnd"/>
      <w:r>
        <w:t>)</w:t>
      </w:r>
      <w:r w:rsidR="00815BB4">
        <w:t xml:space="preserve">: </w:t>
      </w:r>
      <w:r w:rsidR="00A12035">
        <w:t xml:space="preserve">voorstel: </w:t>
      </w:r>
      <w:r w:rsidR="00815BB4">
        <w:t>bij polibezoek a 6</w:t>
      </w:r>
      <w:r w:rsidR="00F71780">
        <w:t xml:space="preserve"> </w:t>
      </w:r>
      <w:proofErr w:type="spellStart"/>
      <w:r w:rsidR="00F71780">
        <w:t>mnd</w:t>
      </w:r>
      <w:proofErr w:type="spellEnd"/>
      <w:r w:rsidR="00F71780">
        <w:t xml:space="preserve"> (</w:t>
      </w:r>
      <w:r w:rsidR="00C8616C">
        <w:t xml:space="preserve">stijging </w:t>
      </w:r>
      <w:r w:rsidR="00AA2F8E">
        <w:t xml:space="preserve">kan wijzen op </w:t>
      </w:r>
      <w:proofErr w:type="spellStart"/>
      <w:r w:rsidR="00AA2F8E">
        <w:t>portale</w:t>
      </w:r>
      <w:proofErr w:type="spellEnd"/>
      <w:r w:rsidR="00AA2F8E">
        <w:t xml:space="preserve"> hypertensie / cirrose)</w:t>
      </w:r>
    </w:p>
    <w:p w14:paraId="376CCE6F" w14:textId="3DEA3813" w:rsidR="005836BC" w:rsidRDefault="00845C07" w:rsidP="00990BD1">
      <w:pPr>
        <w:pStyle w:val="Lijstalinea"/>
        <w:numPr>
          <w:ilvl w:val="0"/>
          <w:numId w:val="7"/>
        </w:numPr>
      </w:pPr>
      <w:r>
        <w:t>Over</w:t>
      </w:r>
      <w:r w:rsidR="009102FF">
        <w:t>w</w:t>
      </w:r>
      <w:r>
        <w:t>eeg leverbiopt bij</w:t>
      </w:r>
      <w:r w:rsidR="009C6613">
        <w:t xml:space="preserve"> verhoogd geconjugeerd bilirubine zonder biliaire afwijkingen</w:t>
      </w:r>
      <w:r w:rsidR="009102FF">
        <w:t xml:space="preserve"> of bij toename geelzucht ondanks afname sepsis</w:t>
      </w:r>
      <w:r w:rsidR="00645F10">
        <w:t xml:space="preserve"> of </w:t>
      </w:r>
      <w:r w:rsidR="00F62FAD">
        <w:t xml:space="preserve">bij </w:t>
      </w:r>
      <w:r w:rsidR="00645F10">
        <w:t>kenmerken van een chronische leverziekte</w:t>
      </w:r>
      <w:r w:rsidR="00645F24">
        <w:t xml:space="preserve"> </w:t>
      </w:r>
    </w:p>
    <w:p w14:paraId="1402B2A6" w14:textId="53F7BBE9" w:rsidR="00990BD1" w:rsidRPr="0089548A" w:rsidRDefault="00990BD1" w:rsidP="00990BD1">
      <w:pPr>
        <w:rPr>
          <w:color w:val="FF0000"/>
        </w:rPr>
      </w:pPr>
      <w:r w:rsidRPr="0089548A">
        <w:rPr>
          <w:color w:val="FF0000"/>
        </w:rPr>
        <w:t xml:space="preserve">Ter discussie: wanneer </w:t>
      </w:r>
      <w:r w:rsidR="00313BD4" w:rsidRPr="0089548A">
        <w:rPr>
          <w:color w:val="FF0000"/>
        </w:rPr>
        <w:t xml:space="preserve">/ met welke criteria </w:t>
      </w:r>
      <w:r w:rsidRPr="0089548A">
        <w:rPr>
          <w:color w:val="FF0000"/>
        </w:rPr>
        <w:t xml:space="preserve">heeft transplantatiecentrum behoefte aan een leverbiopt </w:t>
      </w:r>
      <w:r w:rsidR="00313BD4" w:rsidRPr="0089548A">
        <w:rPr>
          <w:color w:val="FF0000"/>
        </w:rPr>
        <w:t xml:space="preserve">vanuit een verwijzend centrum </w:t>
      </w:r>
      <w:r w:rsidRPr="0089548A">
        <w:rPr>
          <w:color w:val="FF0000"/>
        </w:rPr>
        <w:t>om fibrose / cirrose uit te sluiten</w:t>
      </w:r>
      <w:r w:rsidR="00313BD4" w:rsidRPr="0089548A">
        <w:rPr>
          <w:color w:val="FF0000"/>
        </w:rPr>
        <w:t xml:space="preserve"> wanneer een darmtransplantatie in beeld komt </w:t>
      </w:r>
      <w:r w:rsidR="00F3109D" w:rsidRPr="0089548A">
        <w:rPr>
          <w:color w:val="FF0000"/>
        </w:rPr>
        <w:t>of houdt men dit liever in eigen beheer?</w:t>
      </w:r>
    </w:p>
    <w:p w14:paraId="2BB48B38" w14:textId="77777777" w:rsidR="00990BD1" w:rsidRDefault="00990BD1" w:rsidP="00990BD1"/>
    <w:p w14:paraId="35AA5848" w14:textId="4987DE24" w:rsidR="001E3E4B" w:rsidRPr="00F274D5" w:rsidRDefault="001E3E4B">
      <w:pPr>
        <w:rPr>
          <w:b/>
          <w:bCs/>
          <w:lang w:val="en-US"/>
        </w:rPr>
      </w:pPr>
      <w:proofErr w:type="spellStart"/>
      <w:r w:rsidRPr="00F274D5">
        <w:rPr>
          <w:b/>
          <w:bCs/>
          <w:lang w:val="en-US"/>
        </w:rPr>
        <w:t>Preventie</w:t>
      </w:r>
      <w:proofErr w:type="spellEnd"/>
      <w:r w:rsidRPr="00F274D5">
        <w:rPr>
          <w:b/>
          <w:bCs/>
          <w:lang w:val="en-US"/>
        </w:rPr>
        <w:t xml:space="preserve"> IFALD</w:t>
      </w:r>
      <w:r w:rsidR="004A31BE" w:rsidRPr="00F274D5">
        <w:rPr>
          <w:b/>
          <w:bCs/>
          <w:lang w:val="en-US"/>
        </w:rPr>
        <w:t xml:space="preserve"> </w:t>
      </w:r>
    </w:p>
    <w:p w14:paraId="477C5225" w14:textId="7DD39265" w:rsidR="001C284E" w:rsidRDefault="004A31BE" w:rsidP="001C284E">
      <w:pPr>
        <w:pStyle w:val="Lijstalinea"/>
        <w:numPr>
          <w:ilvl w:val="0"/>
          <w:numId w:val="2"/>
        </w:numPr>
      </w:pPr>
      <w:r>
        <w:t>Preventie sepsis</w:t>
      </w:r>
    </w:p>
    <w:p w14:paraId="2F0E6672" w14:textId="0152EA76" w:rsidR="004A31BE" w:rsidRDefault="004A31BE" w:rsidP="004A31BE">
      <w:pPr>
        <w:pStyle w:val="Lijstalinea"/>
        <w:numPr>
          <w:ilvl w:val="0"/>
          <w:numId w:val="2"/>
        </w:numPr>
      </w:pPr>
      <w:r>
        <w:t xml:space="preserve">Behoud </w:t>
      </w:r>
      <w:proofErr w:type="spellStart"/>
      <w:r>
        <w:t>dundarm</w:t>
      </w:r>
      <w:proofErr w:type="spellEnd"/>
      <w:r>
        <w:t xml:space="preserve"> </w:t>
      </w:r>
      <w:r w:rsidR="00461885">
        <w:t xml:space="preserve">(met name ileum) </w:t>
      </w:r>
      <w:r>
        <w:t xml:space="preserve">en </w:t>
      </w:r>
      <w:r w:rsidR="001C2266">
        <w:t xml:space="preserve">colon </w:t>
      </w:r>
      <w:r w:rsidR="00612C11">
        <w:t>continuïteit</w:t>
      </w:r>
      <w:r w:rsidR="00FF1E34">
        <w:t xml:space="preserve"> (BA/FGF19/FXR </w:t>
      </w:r>
      <w:proofErr w:type="spellStart"/>
      <w:r w:rsidR="00FF1E34">
        <w:t>signaling</w:t>
      </w:r>
      <w:proofErr w:type="spellEnd"/>
      <w:r w:rsidR="00FF1E34">
        <w:t>)</w:t>
      </w:r>
    </w:p>
    <w:p w14:paraId="0C4F81D3" w14:textId="6F1FB573" w:rsidR="00BD2634" w:rsidRDefault="00676250" w:rsidP="00BC758C">
      <w:pPr>
        <w:pStyle w:val="Lijstalinea"/>
        <w:numPr>
          <w:ilvl w:val="0"/>
          <w:numId w:val="2"/>
        </w:numPr>
      </w:pPr>
      <w:r>
        <w:t xml:space="preserve">Behoud </w:t>
      </w:r>
      <w:r w:rsidR="001C2266">
        <w:t>e</w:t>
      </w:r>
      <w:r>
        <w:t>nterale intake</w:t>
      </w:r>
      <w:r w:rsidR="00FD58F8">
        <w:t xml:space="preserve"> en </w:t>
      </w:r>
      <w:proofErr w:type="spellStart"/>
      <w:r w:rsidR="00FD58F8">
        <w:t>evt</w:t>
      </w:r>
      <w:proofErr w:type="spellEnd"/>
      <w:r w:rsidR="00FD58F8">
        <w:t xml:space="preserve"> </w:t>
      </w:r>
      <w:r w:rsidR="001962FB">
        <w:t xml:space="preserve">distaal geven </w:t>
      </w:r>
      <w:r w:rsidR="00C42F62">
        <w:t>voeding</w:t>
      </w:r>
      <w:r w:rsidR="001962FB">
        <w:t>/</w:t>
      </w:r>
      <w:proofErr w:type="spellStart"/>
      <w:r w:rsidR="00FD58F8">
        <w:t>chymus</w:t>
      </w:r>
      <w:proofErr w:type="spellEnd"/>
      <w:r w:rsidR="001962FB">
        <w:t xml:space="preserve"> bij </w:t>
      </w:r>
      <w:r w:rsidR="00C42F62">
        <w:t>discontinuïteit</w:t>
      </w:r>
    </w:p>
    <w:p w14:paraId="09FDA057" w14:textId="2F4EF734" w:rsidR="00A00480" w:rsidRDefault="00C42F62" w:rsidP="00BC758C">
      <w:pPr>
        <w:pStyle w:val="Lijstalinea"/>
        <w:numPr>
          <w:ilvl w:val="0"/>
          <w:numId w:val="2"/>
        </w:numPr>
      </w:pPr>
      <w:r>
        <w:t>C</w:t>
      </w:r>
      <w:r w:rsidR="00606398">
        <w:t>yclisch geven TPV</w:t>
      </w:r>
    </w:p>
    <w:p w14:paraId="02F78F22" w14:textId="77777777" w:rsidR="00142C72" w:rsidRDefault="00606398" w:rsidP="004A31BE">
      <w:pPr>
        <w:pStyle w:val="Lijstalinea"/>
        <w:numPr>
          <w:ilvl w:val="0"/>
          <w:numId w:val="2"/>
        </w:numPr>
      </w:pPr>
      <w:r>
        <w:t>Vermijd overvoeden</w:t>
      </w:r>
    </w:p>
    <w:p w14:paraId="5AB96990" w14:textId="7207C013" w:rsidR="00744D18" w:rsidRDefault="00142C72" w:rsidP="004A31BE">
      <w:pPr>
        <w:pStyle w:val="Lijstalinea"/>
        <w:numPr>
          <w:ilvl w:val="0"/>
          <w:numId w:val="2"/>
        </w:numPr>
      </w:pPr>
      <w:r>
        <w:t xml:space="preserve">Beperk </w:t>
      </w:r>
      <w:proofErr w:type="spellStart"/>
      <w:r>
        <w:t>soya</w:t>
      </w:r>
      <w:proofErr w:type="spellEnd"/>
      <w:r w:rsidR="00BD2634">
        <w:t>/n-6</w:t>
      </w:r>
      <w:r>
        <w:t xml:space="preserve"> lipiden tot &lt; 1g/kg/d</w:t>
      </w:r>
    </w:p>
    <w:p w14:paraId="2FA18805" w14:textId="706F2A96" w:rsidR="00744D18" w:rsidRDefault="00744D18" w:rsidP="004A31BE">
      <w:pPr>
        <w:pStyle w:val="Lijstalinea"/>
        <w:numPr>
          <w:ilvl w:val="0"/>
          <w:numId w:val="2"/>
        </w:numPr>
      </w:pPr>
      <w:r>
        <w:t xml:space="preserve">Vermijd hepatotoxische </w:t>
      </w:r>
      <w:r w:rsidR="001C284E">
        <w:t xml:space="preserve">stoffen </w:t>
      </w:r>
      <w:proofErr w:type="spellStart"/>
      <w:r w:rsidR="001C284E">
        <w:t>incl</w:t>
      </w:r>
      <w:proofErr w:type="spellEnd"/>
      <w:r w:rsidR="001C284E">
        <w:t xml:space="preserve"> </w:t>
      </w:r>
      <w:r>
        <w:t>medicatie</w:t>
      </w:r>
    </w:p>
    <w:p w14:paraId="0F677253" w14:textId="28C6690D" w:rsidR="00C76938" w:rsidRPr="00F274D5" w:rsidRDefault="00744D18" w:rsidP="00C76938">
      <w:pPr>
        <w:rPr>
          <w:b/>
          <w:bCs/>
        </w:rPr>
      </w:pPr>
      <w:r w:rsidRPr="00F274D5">
        <w:rPr>
          <w:b/>
          <w:bCs/>
        </w:rPr>
        <w:t>Behandelen IFALD</w:t>
      </w:r>
      <w:r w:rsidR="00C76938" w:rsidRPr="00F274D5">
        <w:rPr>
          <w:b/>
          <w:bCs/>
        </w:rPr>
        <w:t xml:space="preserve"> </w:t>
      </w:r>
    </w:p>
    <w:p w14:paraId="7CC0346C" w14:textId="7FEFA05D" w:rsidR="00BF20CE" w:rsidRDefault="00DD078B" w:rsidP="00DC300A">
      <w:pPr>
        <w:pStyle w:val="Lijstalinea"/>
        <w:numPr>
          <w:ilvl w:val="0"/>
          <w:numId w:val="6"/>
        </w:numPr>
      </w:pPr>
      <w:r>
        <w:lastRenderedPageBreak/>
        <w:t>S</w:t>
      </w:r>
      <w:r w:rsidR="00C76938">
        <w:t xml:space="preserve">tijging </w:t>
      </w:r>
      <w:proofErr w:type="spellStart"/>
      <w:r w:rsidR="00C76938">
        <w:t>transaminasen</w:t>
      </w:r>
      <w:proofErr w:type="spellEnd"/>
      <w:r w:rsidR="00C76938">
        <w:t xml:space="preserve"> en </w:t>
      </w:r>
      <w:r w:rsidR="00FB7F4E">
        <w:t xml:space="preserve">cholestase </w:t>
      </w:r>
      <w:r w:rsidR="00E8386B">
        <w:t xml:space="preserve">parameters </w:t>
      </w:r>
      <w:r w:rsidR="00FE336E">
        <w:t>t</w:t>
      </w:r>
      <w:r w:rsidR="00C76938">
        <w:t xml:space="preserve">ot </w:t>
      </w:r>
      <w:r w:rsidR="00D0708B">
        <w:t xml:space="preserve">1,5 x ULN </w:t>
      </w:r>
      <w:r w:rsidR="00C76938">
        <w:t>wanneer ontstaan na start TPV en zonder klini</w:t>
      </w:r>
      <w:r w:rsidR="00122116">
        <w:t xml:space="preserve">ek van </w:t>
      </w:r>
      <w:r w:rsidR="00C76938">
        <w:t xml:space="preserve">andere oorzaak </w:t>
      </w:r>
      <w:r w:rsidR="00DA5BF2">
        <w:t xml:space="preserve">is </w:t>
      </w:r>
      <w:r w:rsidR="00C76938">
        <w:t xml:space="preserve">compatibel met TPV </w:t>
      </w:r>
      <w:r w:rsidR="000C2D5B">
        <w:t xml:space="preserve">gebruik als oorzaak </w:t>
      </w:r>
      <w:r w:rsidR="00C76938">
        <w:t xml:space="preserve">en </w:t>
      </w:r>
      <w:r>
        <w:t xml:space="preserve">acceptabel tenzij </w:t>
      </w:r>
      <w:r w:rsidR="00C76938">
        <w:t>wanneer geelzucht ontstaa</w:t>
      </w:r>
      <w:r>
        <w:t>t</w:t>
      </w:r>
      <w:r w:rsidR="00C76938">
        <w:t xml:space="preserve"> (</w:t>
      </w:r>
      <w:proofErr w:type="spellStart"/>
      <w:r w:rsidR="00C76938">
        <w:t>bili</w:t>
      </w:r>
      <w:proofErr w:type="spellEnd"/>
      <w:r w:rsidR="00C76938">
        <w:t xml:space="preserve"> direct &gt; 20 </w:t>
      </w:r>
      <w:proofErr w:type="spellStart"/>
      <w:r w:rsidR="00C76938">
        <w:t>umol</w:t>
      </w:r>
      <w:proofErr w:type="spellEnd"/>
      <w:r w:rsidR="00C76938">
        <w:t>/l</w:t>
      </w:r>
      <w:r w:rsidR="00122116">
        <w:t xml:space="preserve">; </w:t>
      </w:r>
      <w:proofErr w:type="spellStart"/>
      <w:r w:rsidR="00C76938">
        <w:t>cave</w:t>
      </w:r>
      <w:proofErr w:type="spellEnd"/>
      <w:r w:rsidR="00C76938">
        <w:t xml:space="preserve"> Gilbert)</w:t>
      </w:r>
    </w:p>
    <w:p w14:paraId="41AAF5A2" w14:textId="77777777" w:rsidR="00DA5BF2" w:rsidRDefault="00DA5BF2" w:rsidP="00DA5BF2">
      <w:pPr>
        <w:pStyle w:val="Lijstalinea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Direct </w:t>
      </w:r>
      <w:proofErr w:type="spellStart"/>
      <w:r>
        <w:rPr>
          <w:rFonts w:eastAsia="Times New Roman" w:cstheme="minorHAnsi"/>
          <w:lang w:eastAsia="nl-NL"/>
        </w:rPr>
        <w:t>bili</w:t>
      </w:r>
      <w:proofErr w:type="spellEnd"/>
      <w:r>
        <w:rPr>
          <w:rFonts w:eastAsia="Times New Roman" w:cstheme="minorHAnsi"/>
          <w:lang w:eastAsia="nl-NL"/>
        </w:rPr>
        <w:t xml:space="preserve"> &gt; 20 </w:t>
      </w:r>
      <w:proofErr w:type="spellStart"/>
      <w:r>
        <w:rPr>
          <w:rFonts w:eastAsia="Times New Roman" w:cstheme="minorHAnsi"/>
          <w:lang w:eastAsia="nl-NL"/>
        </w:rPr>
        <w:t>umol</w:t>
      </w:r>
      <w:proofErr w:type="spellEnd"/>
      <w:r>
        <w:rPr>
          <w:rFonts w:eastAsia="Times New Roman" w:cstheme="minorHAnsi"/>
          <w:lang w:eastAsia="nl-NL"/>
        </w:rPr>
        <w:t xml:space="preserve">: </w:t>
      </w:r>
    </w:p>
    <w:p w14:paraId="569E116E" w14:textId="77777777" w:rsidR="00DA5BF2" w:rsidRPr="00905ED8" w:rsidRDefault="00DA5BF2" w:rsidP="00DA5BF2">
      <w:pPr>
        <w:pStyle w:val="Lijstalinea"/>
        <w:numPr>
          <w:ilvl w:val="1"/>
          <w:numId w:val="6"/>
        </w:num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uitsluiten lever/galsteenlijden/hepatotoxische </w:t>
      </w:r>
      <w:proofErr w:type="spellStart"/>
      <w:r>
        <w:rPr>
          <w:rFonts w:eastAsia="Times New Roman" w:cstheme="minorHAnsi"/>
          <w:lang w:eastAsia="nl-NL"/>
        </w:rPr>
        <w:t>noxe</w:t>
      </w:r>
      <w:proofErr w:type="spellEnd"/>
      <w:r>
        <w:rPr>
          <w:rFonts w:eastAsia="Times New Roman" w:cstheme="minorHAnsi"/>
          <w:lang w:eastAsia="nl-NL"/>
        </w:rPr>
        <w:t xml:space="preserve"> / inflammatie / overvoeden</w:t>
      </w:r>
    </w:p>
    <w:p w14:paraId="090F910A" w14:textId="09E966CF" w:rsidR="00DA5BF2" w:rsidRDefault="00DA5BF2" w:rsidP="00DA5BF2">
      <w:pPr>
        <w:pStyle w:val="Lijstalinea"/>
        <w:numPr>
          <w:ilvl w:val="1"/>
          <w:numId w:val="6"/>
        </w:num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Stop vetemulsie / sporenelementen (</w:t>
      </w:r>
      <w:r w:rsidR="00E00A94">
        <w:rPr>
          <w:rFonts w:eastAsia="Times New Roman" w:cstheme="minorHAnsi"/>
          <w:lang w:eastAsia="nl-NL"/>
        </w:rPr>
        <w:t xml:space="preserve">ter preventie </w:t>
      </w:r>
      <w:r>
        <w:rPr>
          <w:rFonts w:eastAsia="Times New Roman" w:cstheme="minorHAnsi"/>
          <w:lang w:eastAsia="nl-NL"/>
        </w:rPr>
        <w:t>koper / mangaan</w:t>
      </w:r>
      <w:r w:rsidR="00E00A94">
        <w:rPr>
          <w:rFonts w:eastAsia="Times New Roman" w:cstheme="minorHAnsi"/>
          <w:lang w:eastAsia="nl-NL"/>
        </w:rPr>
        <w:t xml:space="preserve"> stapeling</w:t>
      </w:r>
      <w:r>
        <w:rPr>
          <w:rFonts w:eastAsia="Times New Roman" w:cstheme="minorHAnsi"/>
          <w:lang w:eastAsia="nl-NL"/>
        </w:rPr>
        <w:t>)</w:t>
      </w:r>
    </w:p>
    <w:p w14:paraId="353BEB93" w14:textId="77777777" w:rsidR="00DA5BF2" w:rsidRDefault="00DA5BF2" w:rsidP="00DA5BF2">
      <w:pPr>
        <w:pStyle w:val="Lijstalinea"/>
        <w:numPr>
          <w:ilvl w:val="1"/>
          <w:numId w:val="6"/>
        </w:num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Vervolgen leverfunctie a 4 weken </w:t>
      </w:r>
    </w:p>
    <w:p w14:paraId="56C9300E" w14:textId="25019135" w:rsidR="00DA5BF2" w:rsidRDefault="00DA5BF2" w:rsidP="00DA5BF2">
      <w:pPr>
        <w:pStyle w:val="Lijstalinea"/>
        <w:numPr>
          <w:ilvl w:val="1"/>
          <w:numId w:val="6"/>
        </w:num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Herintroductie vet (</w:t>
      </w:r>
      <w:proofErr w:type="spellStart"/>
      <w:r>
        <w:rPr>
          <w:rFonts w:eastAsia="Times New Roman" w:cstheme="minorHAnsi"/>
          <w:lang w:eastAsia="nl-NL"/>
        </w:rPr>
        <w:t>evt</w:t>
      </w:r>
      <w:proofErr w:type="spellEnd"/>
      <w:r>
        <w:rPr>
          <w:rFonts w:eastAsia="Times New Roman" w:cstheme="minorHAnsi"/>
          <w:lang w:eastAsia="nl-NL"/>
        </w:rPr>
        <w:t xml:space="preserve"> andere emulsie</w:t>
      </w:r>
      <w:r w:rsidR="0048049B">
        <w:rPr>
          <w:rFonts w:eastAsia="Times New Roman" w:cstheme="minorHAnsi"/>
          <w:lang w:eastAsia="nl-NL"/>
        </w:rPr>
        <w:t xml:space="preserve"> met </w:t>
      </w:r>
      <w:r w:rsidR="0048049B">
        <w:t>reductie n-6/n-3 ratio</w:t>
      </w:r>
      <w:r>
        <w:rPr>
          <w:rFonts w:eastAsia="Times New Roman" w:cstheme="minorHAnsi"/>
          <w:lang w:eastAsia="nl-NL"/>
        </w:rPr>
        <w:t>)</w:t>
      </w:r>
    </w:p>
    <w:p w14:paraId="10D79E35" w14:textId="32DD5101" w:rsidR="00DA5BF2" w:rsidRPr="000C2D5B" w:rsidRDefault="00DA5BF2" w:rsidP="000C2D5B">
      <w:pPr>
        <w:pStyle w:val="Lijstalinea"/>
        <w:numPr>
          <w:ilvl w:val="1"/>
          <w:numId w:val="6"/>
        </w:num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Vervolgen leverfuncties</w:t>
      </w:r>
    </w:p>
    <w:p w14:paraId="6A0C40EC" w14:textId="5148E0AE" w:rsidR="001D3922" w:rsidRDefault="00991FF7" w:rsidP="00E00A94">
      <w:pPr>
        <w:pStyle w:val="Lijstalinea"/>
        <w:numPr>
          <w:ilvl w:val="0"/>
          <w:numId w:val="3"/>
        </w:numPr>
      </w:pPr>
      <w:r>
        <w:t xml:space="preserve">Opnieuw </w:t>
      </w:r>
      <w:r w:rsidR="00BF20CE">
        <w:t>e</w:t>
      </w:r>
      <w:r w:rsidR="00DC300A">
        <w:t>valueren</w:t>
      </w:r>
      <w:r w:rsidR="00BF20CE">
        <w:t xml:space="preserve"> van preventieve maatregelen</w:t>
      </w:r>
    </w:p>
    <w:p w14:paraId="4672BC34" w14:textId="7E6C45E0" w:rsidR="00155016" w:rsidRDefault="00155016" w:rsidP="00BF20CE">
      <w:pPr>
        <w:pStyle w:val="Lijstalinea"/>
        <w:numPr>
          <w:ilvl w:val="0"/>
          <w:numId w:val="3"/>
        </w:numPr>
      </w:pPr>
      <w:r>
        <w:t xml:space="preserve">Herstel </w:t>
      </w:r>
      <w:r w:rsidR="00354DC8">
        <w:t>continuïteit</w:t>
      </w:r>
      <w:r>
        <w:t xml:space="preserve"> met colon</w:t>
      </w:r>
      <w:r w:rsidR="00B765CE">
        <w:t xml:space="preserve"> mogelijk?</w:t>
      </w:r>
    </w:p>
    <w:p w14:paraId="7154F70F" w14:textId="5DA98FEB" w:rsidR="00831EAD" w:rsidRDefault="005D7EDD" w:rsidP="00BF20CE">
      <w:pPr>
        <w:pStyle w:val="Lijstalinea"/>
        <w:numPr>
          <w:ilvl w:val="0"/>
          <w:numId w:val="3"/>
        </w:numPr>
      </w:pPr>
      <w:r>
        <w:t xml:space="preserve">Uitsluiten / behandelen </w:t>
      </w:r>
      <w:r w:rsidR="00870D62">
        <w:t>in</w:t>
      </w:r>
      <w:r w:rsidR="00E15C1A">
        <w:t>f</w:t>
      </w:r>
      <w:r w:rsidR="00870D62">
        <w:t xml:space="preserve">lammatie </w:t>
      </w:r>
      <w:r w:rsidR="00831EAD">
        <w:t>/ infectie</w:t>
      </w:r>
    </w:p>
    <w:p w14:paraId="4595EC63" w14:textId="4FC8ED80" w:rsidR="00676250" w:rsidRDefault="005D7EDD" w:rsidP="00BF20CE">
      <w:pPr>
        <w:pStyle w:val="Lijstalinea"/>
        <w:numPr>
          <w:ilvl w:val="0"/>
          <w:numId w:val="3"/>
        </w:numPr>
      </w:pPr>
      <w:proofErr w:type="spellStart"/>
      <w:r>
        <w:t>UItsluiten</w:t>
      </w:r>
      <w:proofErr w:type="spellEnd"/>
      <w:r w:rsidR="00831EAD">
        <w:t xml:space="preserve"> lever</w:t>
      </w:r>
      <w:r>
        <w:t>ziekte</w:t>
      </w:r>
      <w:r w:rsidR="00831EAD">
        <w:t xml:space="preserve"> / hepatotoxische middelen</w:t>
      </w:r>
      <w:r w:rsidR="00FD58F8">
        <w:t xml:space="preserve"> </w:t>
      </w:r>
      <w:r w:rsidR="00987099">
        <w:t>/ galsteenlijden</w:t>
      </w:r>
    </w:p>
    <w:p w14:paraId="7C4D9926" w14:textId="77777777" w:rsidR="00C76938" w:rsidRDefault="005E5822" w:rsidP="00C76938">
      <w:pPr>
        <w:pStyle w:val="Lijstalinea"/>
        <w:numPr>
          <w:ilvl w:val="0"/>
          <w:numId w:val="3"/>
        </w:numPr>
      </w:pPr>
      <w:r>
        <w:t xml:space="preserve">Geen bewijs </w:t>
      </w:r>
      <w:r w:rsidR="002D768F">
        <w:t>UDCA</w:t>
      </w:r>
      <w:r>
        <w:t xml:space="preserve">, choline, </w:t>
      </w:r>
      <w:proofErr w:type="spellStart"/>
      <w:r>
        <w:t>taurine</w:t>
      </w:r>
      <w:proofErr w:type="spellEnd"/>
      <w:r>
        <w:t xml:space="preserve">, </w:t>
      </w:r>
      <w:proofErr w:type="spellStart"/>
      <w:r>
        <w:t>carnitine</w:t>
      </w:r>
      <w:proofErr w:type="spellEnd"/>
    </w:p>
    <w:p w14:paraId="4500A630" w14:textId="10DD0202" w:rsidR="00363A30" w:rsidRDefault="00B96A08" w:rsidP="00C76938">
      <w:pPr>
        <w:pStyle w:val="Lijstalinea"/>
        <w:numPr>
          <w:ilvl w:val="0"/>
          <w:numId w:val="3"/>
        </w:numPr>
      </w:pPr>
      <w:r>
        <w:t>O</w:t>
      </w:r>
      <w:r w:rsidR="00784C20">
        <w:t xml:space="preserve">nvoldoende </w:t>
      </w:r>
      <w:r w:rsidR="00A50112">
        <w:t xml:space="preserve">bewijs voor effect </w:t>
      </w:r>
      <w:r w:rsidR="00784C20">
        <w:t xml:space="preserve">groeifactoren zoals </w:t>
      </w:r>
      <w:r w:rsidR="00363A30">
        <w:t>GLP-2</w:t>
      </w:r>
      <w:r w:rsidR="00DA4F9E">
        <w:t xml:space="preserve"> (</w:t>
      </w:r>
      <w:proofErr w:type="spellStart"/>
      <w:r w:rsidR="00DA4F9E">
        <w:t>teduglutide</w:t>
      </w:r>
      <w:proofErr w:type="spellEnd"/>
      <w:r w:rsidR="00DA4F9E">
        <w:t xml:space="preserve">, </w:t>
      </w:r>
      <w:proofErr w:type="spellStart"/>
      <w:r w:rsidR="00DA4F9E">
        <w:t>g</w:t>
      </w:r>
      <w:r w:rsidR="00CF0EE7">
        <w:t>lepaglutide</w:t>
      </w:r>
      <w:proofErr w:type="spellEnd"/>
      <w:r w:rsidR="00CF0EE7">
        <w:t>)</w:t>
      </w:r>
    </w:p>
    <w:p w14:paraId="42DD03C8" w14:textId="1383307C" w:rsidR="002B1D2E" w:rsidRDefault="00CF0EE7" w:rsidP="00C4614A">
      <w:pPr>
        <w:pStyle w:val="Lijstalinea"/>
        <w:numPr>
          <w:ilvl w:val="0"/>
          <w:numId w:val="3"/>
        </w:numPr>
      </w:pPr>
      <w:r>
        <w:t xml:space="preserve">Leverfalen: </w:t>
      </w:r>
      <w:proofErr w:type="spellStart"/>
      <w:r>
        <w:t>ITx</w:t>
      </w:r>
      <w:proofErr w:type="spellEnd"/>
      <w:r w:rsidR="00FF1021">
        <w:t xml:space="preserve"> (gecombineerd darm/lever)</w:t>
      </w:r>
    </w:p>
    <w:p w14:paraId="61442BC5" w14:textId="076F45CA" w:rsidR="006D33E1" w:rsidRPr="0089548A" w:rsidRDefault="00941C07" w:rsidP="00C4614A">
      <w:pPr>
        <w:pStyle w:val="Lijstalinea"/>
        <w:numPr>
          <w:ilvl w:val="0"/>
          <w:numId w:val="3"/>
        </w:numPr>
        <w:rPr>
          <w:color w:val="FF0000"/>
        </w:rPr>
      </w:pPr>
      <w:r w:rsidRPr="0089548A">
        <w:rPr>
          <w:color w:val="FF0000"/>
        </w:rPr>
        <w:t>Onvoldoende bewijs voor vetvrije TPV als behandeling van TPV</w:t>
      </w:r>
      <w:r w:rsidR="00D363D1" w:rsidRPr="0089548A">
        <w:rPr>
          <w:color w:val="FF0000"/>
        </w:rPr>
        <w:t xml:space="preserve"> (?</w:t>
      </w:r>
      <w:r w:rsidR="0089548A" w:rsidRPr="0089548A">
        <w:rPr>
          <w:color w:val="FF0000"/>
        </w:rPr>
        <w:t xml:space="preserve"> </w:t>
      </w:r>
      <w:r w:rsidR="00D363D1" w:rsidRPr="0089548A">
        <w:rPr>
          <w:color w:val="FF0000"/>
        </w:rPr>
        <w:t xml:space="preserve">voorstel: eigen ervaring leert dat dit wel zo is </w:t>
      </w:r>
      <w:proofErr w:type="spellStart"/>
      <w:r w:rsidR="00D363D1" w:rsidRPr="0089548A">
        <w:rPr>
          <w:color w:val="FF0000"/>
        </w:rPr>
        <w:t>vwb</w:t>
      </w:r>
      <w:proofErr w:type="spellEnd"/>
      <w:r w:rsidR="00D363D1" w:rsidRPr="0089548A">
        <w:rPr>
          <w:color w:val="FF0000"/>
        </w:rPr>
        <w:t xml:space="preserve"> </w:t>
      </w:r>
      <w:r w:rsidR="00CD320E" w:rsidRPr="0089548A">
        <w:rPr>
          <w:color w:val="FF0000"/>
        </w:rPr>
        <w:t>verhoogd bilirubine)</w:t>
      </w:r>
    </w:p>
    <w:p w14:paraId="1C2ED8F2" w14:textId="4DBA2FCB" w:rsidR="00740A6D" w:rsidRPr="00BA4914" w:rsidRDefault="00AE4206">
      <w:pPr>
        <w:rPr>
          <w:b/>
          <w:bCs/>
        </w:rPr>
      </w:pPr>
      <w:r w:rsidRPr="00BA4914">
        <w:rPr>
          <w:b/>
          <w:bCs/>
        </w:rPr>
        <w:t xml:space="preserve">Preventie van </w:t>
      </w:r>
      <w:r w:rsidR="00740A6D" w:rsidRPr="00BA4914">
        <w:rPr>
          <w:b/>
          <w:bCs/>
        </w:rPr>
        <w:t>gal(blaas)steenlijden</w:t>
      </w:r>
    </w:p>
    <w:p w14:paraId="726E6A80" w14:textId="0C5656D4" w:rsidR="00740A6D" w:rsidRDefault="00740A6D" w:rsidP="00804511">
      <w:pPr>
        <w:pStyle w:val="Lijstalinea"/>
        <w:numPr>
          <w:ilvl w:val="0"/>
          <w:numId w:val="4"/>
        </w:numPr>
      </w:pPr>
      <w:r>
        <w:t>Behoud van orale / enterale intake</w:t>
      </w:r>
    </w:p>
    <w:p w14:paraId="04FA669E" w14:textId="68936D23" w:rsidR="00804511" w:rsidRDefault="00804511" w:rsidP="00804511">
      <w:pPr>
        <w:pStyle w:val="Lijstalinea"/>
        <w:numPr>
          <w:ilvl w:val="0"/>
          <w:numId w:val="4"/>
        </w:numPr>
      </w:pPr>
      <w:r>
        <w:t>Indicaties voor cholecystectomie / endoscopische ingrepen zijn gelijk aan normale populatie</w:t>
      </w:r>
    </w:p>
    <w:p w14:paraId="6CEC8BDA" w14:textId="78C0AC26" w:rsidR="00444E2A" w:rsidRPr="00DA5BF2" w:rsidRDefault="00942BFE" w:rsidP="00DA5BF2">
      <w:pPr>
        <w:pStyle w:val="Lijstalinea"/>
        <w:numPr>
          <w:ilvl w:val="0"/>
          <w:numId w:val="4"/>
        </w:numPr>
      </w:pPr>
      <w:r>
        <w:t xml:space="preserve">Overweeg cholecystectomie bij </w:t>
      </w:r>
      <w:r w:rsidR="00ED3C93">
        <w:t>IF</w:t>
      </w:r>
      <w:r>
        <w:t xml:space="preserve"> </w:t>
      </w:r>
      <w:proofErr w:type="spellStart"/>
      <w:r>
        <w:t>pt</w:t>
      </w:r>
      <w:proofErr w:type="spellEnd"/>
      <w:r>
        <w:t xml:space="preserve"> bekend met gal</w:t>
      </w:r>
      <w:r w:rsidR="0002122D">
        <w:t xml:space="preserve">steenlijden bij andere operatieve procedure mits laag complicatierisico en in overleg met </w:t>
      </w:r>
      <w:r w:rsidR="00ED3C93">
        <w:t>patiënt</w:t>
      </w:r>
      <w:r w:rsidR="00D55A15" w:rsidRPr="00DA5BF2">
        <w:rPr>
          <w:rFonts w:eastAsia="Times New Roman" w:cstheme="minorHAnsi"/>
          <w:lang w:eastAsia="nl-NL"/>
        </w:rPr>
        <w:tab/>
      </w:r>
    </w:p>
    <w:p w14:paraId="209A4919" w14:textId="77777777" w:rsidR="009A2F41" w:rsidRDefault="009A2F41" w:rsidP="00630896">
      <w:pPr>
        <w:spacing w:after="0" w:line="240" w:lineRule="auto"/>
        <w:rPr>
          <w:rFonts w:eastAsia="Times New Roman" w:cstheme="minorHAnsi"/>
          <w:lang w:eastAsia="nl-NL"/>
        </w:rPr>
      </w:pPr>
    </w:p>
    <w:p w14:paraId="5C62D457" w14:textId="77777777" w:rsidR="009A2F41" w:rsidRDefault="009A2F41" w:rsidP="00630896">
      <w:pPr>
        <w:spacing w:after="0" w:line="240" w:lineRule="auto"/>
        <w:rPr>
          <w:rFonts w:eastAsia="Times New Roman" w:cstheme="minorHAnsi"/>
          <w:lang w:eastAsia="nl-NL"/>
        </w:rPr>
      </w:pPr>
    </w:p>
    <w:p w14:paraId="786D8569" w14:textId="4788B687" w:rsidR="009A2F41" w:rsidRPr="00276577" w:rsidRDefault="009A2F41" w:rsidP="00630896">
      <w:pPr>
        <w:spacing w:after="0" w:line="240" w:lineRule="auto"/>
        <w:rPr>
          <w:rFonts w:eastAsia="Times New Roman" w:cstheme="minorHAnsi"/>
          <w:b/>
          <w:bCs/>
          <w:lang w:val="en-US" w:eastAsia="nl-NL"/>
        </w:rPr>
      </w:pPr>
      <w:proofErr w:type="spellStart"/>
      <w:r w:rsidRPr="00276577">
        <w:rPr>
          <w:rFonts w:eastAsia="Times New Roman" w:cstheme="minorHAnsi"/>
          <w:b/>
          <w:bCs/>
          <w:lang w:val="en-US" w:eastAsia="nl-NL"/>
        </w:rPr>
        <w:t>Referenties</w:t>
      </w:r>
      <w:proofErr w:type="spellEnd"/>
    </w:p>
    <w:p w14:paraId="4C378F67" w14:textId="78B987AE" w:rsidR="00630896" w:rsidRPr="00630896" w:rsidRDefault="0089548A" w:rsidP="00630896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5" w:history="1">
        <w:r w:rsidR="00630896" w:rsidRPr="00E93DF7">
          <w:rPr>
            <w:rFonts w:eastAsia="Times New Roman" w:cstheme="minorHAnsi"/>
            <w:shd w:val="clear" w:color="auto" w:fill="FFFFFF"/>
            <w:lang w:val="en-US" w:eastAsia="nl-NL"/>
          </w:rPr>
          <w:br/>
        </w:r>
        <w:r w:rsidR="00630896" w:rsidRPr="00630896">
          <w:rPr>
            <w:rFonts w:eastAsia="Times New Roman" w:cstheme="minorHAnsi"/>
            <w:shd w:val="clear" w:color="auto" w:fill="FFFFFF"/>
            <w:lang w:val="en-US" w:eastAsia="nl-NL"/>
          </w:rPr>
          <w:t>Influence of different intravenous lipid emulsions on fatty acid status and laboratory and clinical outcomes in adult patients receiving home parenteral nutrition: A systematic review.</w:t>
        </w:r>
      </w:hyperlink>
    </w:p>
    <w:p w14:paraId="59C06753" w14:textId="3DE0189C" w:rsidR="00630896" w:rsidRDefault="00630896" w:rsidP="009D2E54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  <w:r w:rsidRPr="00630896">
        <w:rPr>
          <w:rFonts w:eastAsia="Times New Roman" w:cstheme="minorHAnsi"/>
          <w:lang w:val="en-US" w:eastAsia="nl-NL"/>
        </w:rPr>
        <w:t xml:space="preserve">Ahmed S, Innes JK, Calder </w:t>
      </w:r>
      <w:proofErr w:type="spellStart"/>
      <w:r w:rsidRPr="00630896">
        <w:rPr>
          <w:rFonts w:eastAsia="Times New Roman" w:cstheme="minorHAnsi"/>
          <w:lang w:val="en-US" w:eastAsia="nl-NL"/>
        </w:rPr>
        <w:t>PC.Clin</w:t>
      </w:r>
      <w:proofErr w:type="spellEnd"/>
      <w:r w:rsidRPr="00630896">
        <w:rPr>
          <w:rFonts w:eastAsia="Times New Roman" w:cstheme="minorHAnsi"/>
          <w:lang w:val="en-US" w:eastAsia="nl-NL"/>
        </w:rPr>
        <w:t xml:space="preserve"> </w:t>
      </w:r>
      <w:proofErr w:type="spellStart"/>
      <w:r w:rsidRPr="00630896">
        <w:rPr>
          <w:rFonts w:eastAsia="Times New Roman" w:cstheme="minorHAnsi"/>
          <w:lang w:val="en-US" w:eastAsia="nl-NL"/>
        </w:rPr>
        <w:t>Nutr</w:t>
      </w:r>
      <w:proofErr w:type="spellEnd"/>
      <w:r w:rsidRPr="00630896">
        <w:rPr>
          <w:rFonts w:eastAsia="Times New Roman" w:cstheme="minorHAnsi"/>
          <w:lang w:val="en-US" w:eastAsia="nl-NL"/>
        </w:rPr>
        <w:t>. 2021 Mar;40(3):1115-1122.</w:t>
      </w:r>
    </w:p>
    <w:p w14:paraId="4514EE55" w14:textId="77777777" w:rsidR="009D2E54" w:rsidRPr="009D2E54" w:rsidRDefault="009D2E54" w:rsidP="009D2E54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142F94C1" w14:textId="77777777" w:rsidR="00630896" w:rsidRPr="00630896" w:rsidRDefault="0089548A" w:rsidP="00630896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6" w:history="1">
        <w:r w:rsidR="00630896" w:rsidRPr="00630896">
          <w:rPr>
            <w:rFonts w:eastAsia="Times New Roman" w:cstheme="minorHAnsi"/>
            <w:shd w:val="clear" w:color="auto" w:fill="FFFFFF"/>
            <w:lang w:val="en-US" w:eastAsia="nl-NL"/>
          </w:rPr>
          <w:t>The effects of different parenteral nutrition lipid formulations on clinical and laboratory endpoints in patients receiving home parenteral nutrition: A systematic review.</w:t>
        </w:r>
      </w:hyperlink>
    </w:p>
    <w:p w14:paraId="2BE5CA0F" w14:textId="351AF322" w:rsidR="00630896" w:rsidRDefault="00630896" w:rsidP="006A572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  <w:r w:rsidRPr="00630896">
        <w:rPr>
          <w:rFonts w:eastAsia="Times New Roman" w:cstheme="minorHAnsi"/>
          <w:lang w:val="en-US" w:eastAsia="nl-NL"/>
        </w:rPr>
        <w:t xml:space="preserve">Kirk C, Haigh L, Thompson NP, Pearce M, Jones DE, Mathers </w:t>
      </w:r>
      <w:proofErr w:type="spellStart"/>
      <w:r w:rsidRPr="00630896">
        <w:rPr>
          <w:rFonts w:eastAsia="Times New Roman" w:cstheme="minorHAnsi"/>
          <w:lang w:val="en-US" w:eastAsia="nl-NL"/>
        </w:rPr>
        <w:t>JC.Clin</w:t>
      </w:r>
      <w:proofErr w:type="spellEnd"/>
      <w:r w:rsidRPr="00630896">
        <w:rPr>
          <w:rFonts w:eastAsia="Times New Roman" w:cstheme="minorHAnsi"/>
          <w:lang w:val="en-US" w:eastAsia="nl-NL"/>
        </w:rPr>
        <w:t xml:space="preserve"> </w:t>
      </w:r>
      <w:proofErr w:type="spellStart"/>
      <w:r w:rsidRPr="00630896">
        <w:rPr>
          <w:rFonts w:eastAsia="Times New Roman" w:cstheme="minorHAnsi"/>
          <w:lang w:val="en-US" w:eastAsia="nl-NL"/>
        </w:rPr>
        <w:t>Nutr</w:t>
      </w:r>
      <w:proofErr w:type="spellEnd"/>
      <w:r w:rsidRPr="00630896">
        <w:rPr>
          <w:rFonts w:eastAsia="Times New Roman" w:cstheme="minorHAnsi"/>
          <w:lang w:val="en-US" w:eastAsia="nl-NL"/>
        </w:rPr>
        <w:t>. 2022 Jan;41(1):80-90.</w:t>
      </w:r>
    </w:p>
    <w:p w14:paraId="46D5E8AE" w14:textId="77777777" w:rsidR="00054E71" w:rsidRDefault="00054E71" w:rsidP="006A572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639008A2" w14:textId="77777777" w:rsidR="00054E71" w:rsidRPr="00054E71" w:rsidRDefault="0089548A" w:rsidP="00054E71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7" w:history="1">
        <w:r w:rsidR="00054E71" w:rsidRPr="00054E71">
          <w:rPr>
            <w:rFonts w:eastAsia="Times New Roman" w:cstheme="minorHAnsi"/>
            <w:shd w:val="clear" w:color="auto" w:fill="FFFFFF"/>
            <w:lang w:val="en-US" w:eastAsia="nl-NL"/>
          </w:rPr>
          <w:t>ESPEN guideline on chronic intestinal failure in adults - Update 2023.</w:t>
        </w:r>
      </w:hyperlink>
    </w:p>
    <w:p w14:paraId="27A81308" w14:textId="375BE23D" w:rsidR="00054E71" w:rsidRPr="00054E71" w:rsidRDefault="00054E71" w:rsidP="00054E71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  <w:r w:rsidRPr="00054E71">
        <w:rPr>
          <w:rFonts w:eastAsia="Times New Roman" w:cstheme="minorHAnsi"/>
          <w:lang w:val="en-US" w:eastAsia="nl-NL"/>
        </w:rPr>
        <w:t xml:space="preserve">Pironi L, Cuerda C, Jeppesen PB, Joly F, Jonkers C, Krznarić Ž, Lal S, Lamprecht G, </w:t>
      </w:r>
      <w:proofErr w:type="spellStart"/>
      <w:r w:rsidRPr="00054E71">
        <w:rPr>
          <w:rFonts w:eastAsia="Times New Roman" w:cstheme="minorHAnsi"/>
          <w:lang w:val="en-US" w:eastAsia="nl-NL"/>
        </w:rPr>
        <w:t>Lichota</w:t>
      </w:r>
      <w:proofErr w:type="spellEnd"/>
      <w:r w:rsidRPr="00054E71">
        <w:rPr>
          <w:rFonts w:eastAsia="Times New Roman" w:cstheme="minorHAnsi"/>
          <w:lang w:val="en-US" w:eastAsia="nl-NL"/>
        </w:rPr>
        <w:t xml:space="preserve"> M, Mundi MS, Schneider SM, Szczepanek K, Van Gossum A, Wanten G, Wheatley C, Weimann A.</w:t>
      </w:r>
      <w:r w:rsidR="00594329">
        <w:rPr>
          <w:rFonts w:eastAsia="Times New Roman" w:cstheme="minorHAnsi"/>
          <w:lang w:val="en-US" w:eastAsia="nl-NL"/>
        </w:rPr>
        <w:t xml:space="preserve"> </w:t>
      </w:r>
      <w:r w:rsidRPr="00054E71">
        <w:rPr>
          <w:rFonts w:eastAsia="Times New Roman" w:cstheme="minorHAnsi"/>
          <w:lang w:val="en-US" w:eastAsia="nl-NL"/>
        </w:rPr>
        <w:t xml:space="preserve">Clin </w:t>
      </w:r>
      <w:proofErr w:type="spellStart"/>
      <w:r w:rsidRPr="00054E71">
        <w:rPr>
          <w:rFonts w:eastAsia="Times New Roman" w:cstheme="minorHAnsi"/>
          <w:lang w:val="en-US" w:eastAsia="nl-NL"/>
        </w:rPr>
        <w:t>Nutr</w:t>
      </w:r>
      <w:proofErr w:type="spellEnd"/>
      <w:r w:rsidRPr="00054E71">
        <w:rPr>
          <w:rFonts w:eastAsia="Times New Roman" w:cstheme="minorHAnsi"/>
          <w:lang w:val="en-US" w:eastAsia="nl-NL"/>
        </w:rPr>
        <w:t>. 2023 Oct;42(10):1940-2021.</w:t>
      </w:r>
    </w:p>
    <w:p w14:paraId="623CFE27" w14:textId="77777777" w:rsidR="00054E71" w:rsidRPr="00202AF7" w:rsidRDefault="00054E71" w:rsidP="006A572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7FF66FF6" w14:textId="3DBA9EBE" w:rsidR="007C3EDD" w:rsidRPr="007C3EDD" w:rsidRDefault="0089548A" w:rsidP="007854D4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8" w:history="1">
        <w:r w:rsidR="007C3EDD" w:rsidRPr="007C3EDD">
          <w:rPr>
            <w:rFonts w:eastAsia="Times New Roman" w:cstheme="minorHAnsi"/>
            <w:shd w:val="clear" w:color="auto" w:fill="FFFFFF"/>
            <w:lang w:val="en-US" w:eastAsia="nl-NL"/>
          </w:rPr>
          <w:t>ESPEN practical guideline: Home parenteral nutrition.</w:t>
        </w:r>
      </w:hyperlink>
      <w:r w:rsidR="007854D4">
        <w:rPr>
          <w:rFonts w:eastAsia="Times New Roman" w:cstheme="minorHAnsi"/>
          <w:lang w:val="en-US" w:eastAsia="nl-NL"/>
        </w:rPr>
        <w:t xml:space="preserve"> </w:t>
      </w:r>
      <w:r w:rsidR="007C3EDD" w:rsidRPr="007C3EDD">
        <w:rPr>
          <w:rFonts w:eastAsia="Times New Roman" w:cstheme="minorHAnsi"/>
          <w:lang w:val="en-US" w:eastAsia="nl-NL"/>
        </w:rPr>
        <w:t xml:space="preserve">Pironi L, Boeykens K, Bozzetti F, Joly F, Klek S, Lal S, </w:t>
      </w:r>
      <w:proofErr w:type="spellStart"/>
      <w:r w:rsidR="007C3EDD" w:rsidRPr="007C3EDD">
        <w:rPr>
          <w:rFonts w:eastAsia="Times New Roman" w:cstheme="minorHAnsi"/>
          <w:lang w:val="en-US" w:eastAsia="nl-NL"/>
        </w:rPr>
        <w:t>Lichota</w:t>
      </w:r>
      <w:proofErr w:type="spellEnd"/>
      <w:r w:rsidR="007C3EDD" w:rsidRPr="007C3EDD">
        <w:rPr>
          <w:rFonts w:eastAsia="Times New Roman" w:cstheme="minorHAnsi"/>
          <w:lang w:val="en-US" w:eastAsia="nl-NL"/>
        </w:rPr>
        <w:t xml:space="preserve"> M, </w:t>
      </w:r>
      <w:proofErr w:type="spellStart"/>
      <w:r w:rsidR="007C3EDD" w:rsidRPr="007C3EDD">
        <w:rPr>
          <w:rFonts w:eastAsia="Times New Roman" w:cstheme="minorHAnsi"/>
          <w:lang w:val="en-US" w:eastAsia="nl-NL"/>
        </w:rPr>
        <w:t>Mühlebach</w:t>
      </w:r>
      <w:proofErr w:type="spellEnd"/>
      <w:r w:rsidR="007C3EDD" w:rsidRPr="007C3EDD">
        <w:rPr>
          <w:rFonts w:eastAsia="Times New Roman" w:cstheme="minorHAnsi"/>
          <w:lang w:val="en-US" w:eastAsia="nl-NL"/>
        </w:rPr>
        <w:t xml:space="preserve"> S, Van Gossum A, Wanten G, Wheatley C, Bischoff </w:t>
      </w:r>
      <w:proofErr w:type="spellStart"/>
      <w:r w:rsidR="007C3EDD" w:rsidRPr="007C3EDD">
        <w:rPr>
          <w:rFonts w:eastAsia="Times New Roman" w:cstheme="minorHAnsi"/>
          <w:lang w:val="en-US" w:eastAsia="nl-NL"/>
        </w:rPr>
        <w:t>SC.Clin</w:t>
      </w:r>
      <w:proofErr w:type="spellEnd"/>
      <w:r w:rsidR="007C3EDD" w:rsidRPr="007C3EDD">
        <w:rPr>
          <w:rFonts w:eastAsia="Times New Roman" w:cstheme="minorHAnsi"/>
          <w:lang w:val="en-US" w:eastAsia="nl-NL"/>
        </w:rPr>
        <w:t xml:space="preserve"> </w:t>
      </w:r>
      <w:proofErr w:type="spellStart"/>
      <w:r w:rsidR="007C3EDD" w:rsidRPr="007C3EDD">
        <w:rPr>
          <w:rFonts w:eastAsia="Times New Roman" w:cstheme="minorHAnsi"/>
          <w:lang w:val="en-US" w:eastAsia="nl-NL"/>
        </w:rPr>
        <w:t>Nutr</w:t>
      </w:r>
      <w:proofErr w:type="spellEnd"/>
      <w:r w:rsidR="007C3EDD" w:rsidRPr="007C3EDD">
        <w:rPr>
          <w:rFonts w:eastAsia="Times New Roman" w:cstheme="minorHAnsi"/>
          <w:lang w:val="en-US" w:eastAsia="nl-NL"/>
        </w:rPr>
        <w:t>. 2023 Mar;42(3):411-430.</w:t>
      </w:r>
    </w:p>
    <w:p w14:paraId="7E846CFE" w14:textId="77777777" w:rsidR="00054E71" w:rsidRPr="00202AF7" w:rsidRDefault="00054E71" w:rsidP="006A572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7D2CD813" w14:textId="77777777" w:rsidR="00600C2E" w:rsidRPr="00600C2E" w:rsidRDefault="0089548A" w:rsidP="00600C2E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9" w:history="1">
        <w:r w:rsidR="00600C2E" w:rsidRPr="00600C2E">
          <w:rPr>
            <w:rFonts w:eastAsia="Times New Roman" w:cstheme="minorHAnsi"/>
            <w:shd w:val="clear" w:color="auto" w:fill="FFFFFF"/>
            <w:lang w:val="en-US" w:eastAsia="nl-NL"/>
          </w:rPr>
          <w:t>Review article: diagnosis and management of intestinal failure-associated liver disease in adults.</w:t>
        </w:r>
      </w:hyperlink>
    </w:p>
    <w:p w14:paraId="3C6A4E1C" w14:textId="6583BF2E" w:rsidR="00600C2E" w:rsidRPr="00600C2E" w:rsidRDefault="00600C2E" w:rsidP="00600C2E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  <w:r w:rsidRPr="00600C2E">
        <w:rPr>
          <w:rFonts w:eastAsia="Times New Roman" w:cstheme="minorHAnsi"/>
          <w:lang w:val="en-US" w:eastAsia="nl-NL"/>
        </w:rPr>
        <w:t xml:space="preserve">Bond A, Huijbers A, Pironi L, Schneider SM, Wanten G, Lal </w:t>
      </w:r>
      <w:proofErr w:type="spellStart"/>
      <w:r w:rsidRPr="00600C2E">
        <w:rPr>
          <w:rFonts w:eastAsia="Times New Roman" w:cstheme="minorHAnsi"/>
          <w:lang w:val="en-US" w:eastAsia="nl-NL"/>
        </w:rPr>
        <w:t>S.Aliment</w:t>
      </w:r>
      <w:proofErr w:type="spellEnd"/>
      <w:r w:rsidRPr="00600C2E">
        <w:rPr>
          <w:rFonts w:eastAsia="Times New Roman" w:cstheme="minorHAnsi"/>
          <w:lang w:val="en-US" w:eastAsia="nl-NL"/>
        </w:rPr>
        <w:t xml:space="preserve"> </w:t>
      </w:r>
      <w:proofErr w:type="spellStart"/>
      <w:r w:rsidRPr="00600C2E">
        <w:rPr>
          <w:rFonts w:eastAsia="Times New Roman" w:cstheme="minorHAnsi"/>
          <w:lang w:val="en-US" w:eastAsia="nl-NL"/>
        </w:rPr>
        <w:t>Pharmacol</w:t>
      </w:r>
      <w:proofErr w:type="spellEnd"/>
      <w:r w:rsidRPr="00600C2E">
        <w:rPr>
          <w:rFonts w:eastAsia="Times New Roman" w:cstheme="minorHAnsi"/>
          <w:lang w:val="en-US" w:eastAsia="nl-NL"/>
        </w:rPr>
        <w:t xml:space="preserve"> </w:t>
      </w:r>
      <w:proofErr w:type="spellStart"/>
      <w:r w:rsidRPr="00600C2E">
        <w:rPr>
          <w:rFonts w:eastAsia="Times New Roman" w:cstheme="minorHAnsi"/>
          <w:lang w:val="en-US" w:eastAsia="nl-NL"/>
        </w:rPr>
        <w:t>Ther</w:t>
      </w:r>
      <w:proofErr w:type="spellEnd"/>
      <w:r w:rsidRPr="00600C2E">
        <w:rPr>
          <w:rFonts w:eastAsia="Times New Roman" w:cstheme="minorHAnsi"/>
          <w:lang w:val="en-US" w:eastAsia="nl-NL"/>
        </w:rPr>
        <w:t>. 2019 Sep;50(6):640-653.</w:t>
      </w:r>
    </w:p>
    <w:p w14:paraId="29D7074C" w14:textId="77777777" w:rsidR="007C3EDD" w:rsidRPr="00202AF7" w:rsidRDefault="007C3EDD" w:rsidP="006A572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01A7EB2A" w14:textId="77777777" w:rsidR="007F1401" w:rsidRPr="007F1401" w:rsidRDefault="0089548A" w:rsidP="007F1401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0" w:history="1">
        <w:r w:rsidR="007F1401" w:rsidRPr="007F1401">
          <w:rPr>
            <w:rFonts w:eastAsia="Times New Roman" w:cstheme="minorHAnsi"/>
            <w:shd w:val="clear" w:color="auto" w:fill="FFFFFF"/>
            <w:lang w:val="en-US" w:eastAsia="nl-NL"/>
          </w:rPr>
          <w:t>Low circulating concentrations of citrulline and FGF19 predict chronic cholestasis and poor survival in adult patients with chronic intestinal failure: development of a Model for End-Stage Intestinal Failure (MESIF risk score).</w:t>
        </w:r>
      </w:hyperlink>
    </w:p>
    <w:p w14:paraId="21F55EEF" w14:textId="7A4C6A80" w:rsidR="007F1401" w:rsidRPr="00F40F10" w:rsidRDefault="007F1401" w:rsidP="007F1401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  <w:proofErr w:type="spellStart"/>
      <w:r w:rsidRPr="00F40F10">
        <w:rPr>
          <w:rFonts w:eastAsia="Times New Roman" w:cstheme="minorHAnsi"/>
          <w:lang w:eastAsia="nl-NL"/>
        </w:rPr>
        <w:t>Koelfat</w:t>
      </w:r>
      <w:proofErr w:type="spellEnd"/>
      <w:r w:rsidRPr="00F40F10">
        <w:rPr>
          <w:rFonts w:eastAsia="Times New Roman" w:cstheme="minorHAnsi"/>
          <w:lang w:eastAsia="nl-NL"/>
        </w:rPr>
        <w:t xml:space="preserve"> KVK, Huijbers A, Schaap FG, van </w:t>
      </w:r>
      <w:proofErr w:type="spellStart"/>
      <w:r w:rsidRPr="00F40F10">
        <w:rPr>
          <w:rFonts w:eastAsia="Times New Roman" w:cstheme="minorHAnsi"/>
          <w:lang w:eastAsia="nl-NL"/>
        </w:rPr>
        <w:t>Kuijk</w:t>
      </w:r>
      <w:proofErr w:type="spellEnd"/>
      <w:r w:rsidRPr="00F40F10">
        <w:rPr>
          <w:rFonts w:eastAsia="Times New Roman" w:cstheme="minorHAnsi"/>
          <w:lang w:eastAsia="nl-NL"/>
        </w:rPr>
        <w:t xml:space="preserve"> SMJ, </w:t>
      </w:r>
      <w:proofErr w:type="spellStart"/>
      <w:r w:rsidRPr="00F40F10">
        <w:rPr>
          <w:rFonts w:eastAsia="Times New Roman" w:cstheme="minorHAnsi"/>
          <w:lang w:eastAsia="nl-NL"/>
        </w:rPr>
        <w:t>Lenicek</w:t>
      </w:r>
      <w:proofErr w:type="spellEnd"/>
      <w:r w:rsidRPr="00F40F10">
        <w:rPr>
          <w:rFonts w:eastAsia="Times New Roman" w:cstheme="minorHAnsi"/>
          <w:lang w:eastAsia="nl-NL"/>
        </w:rPr>
        <w:t xml:space="preserve"> M, Soeters MR, Wanten GJA, Olde Damink </w:t>
      </w:r>
      <w:proofErr w:type="spellStart"/>
      <w:r w:rsidRPr="00F40F10">
        <w:rPr>
          <w:rFonts w:eastAsia="Times New Roman" w:cstheme="minorHAnsi"/>
          <w:lang w:eastAsia="nl-NL"/>
        </w:rPr>
        <w:t>SWM.Am</w:t>
      </w:r>
      <w:proofErr w:type="spellEnd"/>
      <w:r w:rsidRPr="00F40F10">
        <w:rPr>
          <w:rFonts w:eastAsia="Times New Roman" w:cstheme="minorHAnsi"/>
          <w:lang w:eastAsia="nl-NL"/>
        </w:rPr>
        <w:t xml:space="preserve"> J </w:t>
      </w:r>
      <w:proofErr w:type="spellStart"/>
      <w:r w:rsidRPr="00F40F10">
        <w:rPr>
          <w:rFonts w:eastAsia="Times New Roman" w:cstheme="minorHAnsi"/>
          <w:lang w:eastAsia="nl-NL"/>
        </w:rPr>
        <w:t>Clin</w:t>
      </w:r>
      <w:proofErr w:type="spellEnd"/>
      <w:r w:rsidRPr="00F40F10">
        <w:rPr>
          <w:rFonts w:eastAsia="Times New Roman" w:cstheme="minorHAnsi"/>
          <w:lang w:eastAsia="nl-NL"/>
        </w:rPr>
        <w:t xml:space="preserve"> </w:t>
      </w:r>
      <w:proofErr w:type="spellStart"/>
      <w:r w:rsidRPr="00F40F10">
        <w:rPr>
          <w:rFonts w:eastAsia="Times New Roman" w:cstheme="minorHAnsi"/>
          <w:lang w:eastAsia="nl-NL"/>
        </w:rPr>
        <w:t>Nutr</w:t>
      </w:r>
      <w:proofErr w:type="spellEnd"/>
      <w:r w:rsidRPr="00F40F10">
        <w:rPr>
          <w:rFonts w:eastAsia="Times New Roman" w:cstheme="minorHAnsi"/>
          <w:lang w:eastAsia="nl-NL"/>
        </w:rPr>
        <w:t>. 2019 Jun 1;109(6):1620-1629.</w:t>
      </w:r>
    </w:p>
    <w:p w14:paraId="682950CB" w14:textId="77777777" w:rsidR="00600C2E" w:rsidRPr="00F40F10" w:rsidRDefault="00600C2E" w:rsidP="006A5729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7DF67C8F" w14:textId="77777777" w:rsidR="004A7E3D" w:rsidRPr="004A7E3D" w:rsidRDefault="0089548A" w:rsidP="004A7E3D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1" w:history="1">
        <w:r w:rsidR="004A7E3D" w:rsidRPr="004A7E3D">
          <w:rPr>
            <w:rFonts w:eastAsia="Times New Roman" w:cstheme="minorHAnsi"/>
            <w:shd w:val="clear" w:color="auto" w:fill="FFFFFF"/>
            <w:lang w:val="en-US" w:eastAsia="nl-NL"/>
          </w:rPr>
          <w:t>Systematic Review: Noninvasive Assessments of Intestinal Failure-Associated Liver Disease in the Adult Population.</w:t>
        </w:r>
      </w:hyperlink>
    </w:p>
    <w:p w14:paraId="741570C8" w14:textId="09A6A45E" w:rsidR="004A7E3D" w:rsidRPr="004A7E3D" w:rsidRDefault="004A7E3D" w:rsidP="004A7E3D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  <w:r w:rsidRPr="004A7E3D">
        <w:rPr>
          <w:rFonts w:eastAsia="Times New Roman" w:cstheme="minorHAnsi"/>
          <w:lang w:eastAsia="nl-NL"/>
        </w:rPr>
        <w:t xml:space="preserve">Huijbers A, Koggel LM, Bronkhorst C, Verheij J, Wanten GJA.JPEN J </w:t>
      </w:r>
      <w:proofErr w:type="spellStart"/>
      <w:r w:rsidRPr="004A7E3D">
        <w:rPr>
          <w:rFonts w:eastAsia="Times New Roman" w:cstheme="minorHAnsi"/>
          <w:lang w:eastAsia="nl-NL"/>
        </w:rPr>
        <w:t>Parenter</w:t>
      </w:r>
      <w:proofErr w:type="spellEnd"/>
      <w:r w:rsidRPr="004A7E3D">
        <w:rPr>
          <w:rFonts w:eastAsia="Times New Roman" w:cstheme="minorHAnsi"/>
          <w:lang w:eastAsia="nl-NL"/>
        </w:rPr>
        <w:t xml:space="preserve"> </w:t>
      </w:r>
      <w:proofErr w:type="spellStart"/>
      <w:r w:rsidRPr="004A7E3D">
        <w:rPr>
          <w:rFonts w:eastAsia="Times New Roman" w:cstheme="minorHAnsi"/>
          <w:lang w:eastAsia="nl-NL"/>
        </w:rPr>
        <w:t>Enteral</w:t>
      </w:r>
      <w:proofErr w:type="spellEnd"/>
      <w:r w:rsidRPr="004A7E3D">
        <w:rPr>
          <w:rFonts w:eastAsia="Times New Roman" w:cstheme="minorHAnsi"/>
          <w:lang w:eastAsia="nl-NL"/>
        </w:rPr>
        <w:t xml:space="preserve"> </w:t>
      </w:r>
      <w:proofErr w:type="spellStart"/>
      <w:r w:rsidRPr="004A7E3D">
        <w:rPr>
          <w:rFonts w:eastAsia="Times New Roman" w:cstheme="minorHAnsi"/>
          <w:lang w:eastAsia="nl-NL"/>
        </w:rPr>
        <w:t>Nutr</w:t>
      </w:r>
      <w:proofErr w:type="spellEnd"/>
      <w:r w:rsidRPr="004A7E3D">
        <w:rPr>
          <w:rFonts w:eastAsia="Times New Roman" w:cstheme="minorHAnsi"/>
          <w:lang w:eastAsia="nl-NL"/>
        </w:rPr>
        <w:t>. 2019 Jul;43(5):615-626.</w:t>
      </w:r>
    </w:p>
    <w:p w14:paraId="1800EE4C" w14:textId="77777777" w:rsidR="007F1401" w:rsidRPr="00202AF7" w:rsidRDefault="007F1401" w:rsidP="006A5729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5D72385A" w14:textId="7579F3F0" w:rsidR="000C1D6F" w:rsidRPr="000C1D6F" w:rsidRDefault="0089548A" w:rsidP="000C1D6F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2" w:history="1">
        <w:r w:rsidR="000C1D6F" w:rsidRPr="000C1D6F">
          <w:rPr>
            <w:rFonts w:eastAsia="Times New Roman" w:cstheme="minorHAnsi"/>
            <w:shd w:val="clear" w:color="auto" w:fill="FFFFFF"/>
            <w:lang w:val="en-US" w:eastAsia="nl-NL"/>
          </w:rPr>
          <w:t>Clinical approach to the management of Intestinal Failure Associated Liver Disease (IFALD) in adults: A position paper from the Home Artificial Nutrition and Chronic Intestinal Failure Special Interest Group of ESPEN.</w:t>
        </w:r>
      </w:hyperlink>
    </w:p>
    <w:p w14:paraId="01E8B834" w14:textId="1270EBBD" w:rsidR="000C1D6F" w:rsidRPr="000C1D6F" w:rsidRDefault="000C1D6F" w:rsidP="000C1D6F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  <w:r w:rsidRPr="000C1D6F">
        <w:rPr>
          <w:rFonts w:eastAsia="Times New Roman" w:cstheme="minorHAnsi"/>
          <w:lang w:val="en-US" w:eastAsia="nl-NL"/>
        </w:rPr>
        <w:t xml:space="preserve">Lal S, Pironi L, Wanten G, Arends J, Bozzetti F, Cuerda C, Joly F, Kelly D, </w:t>
      </w:r>
      <w:proofErr w:type="spellStart"/>
      <w:r w:rsidRPr="000C1D6F">
        <w:rPr>
          <w:rFonts w:eastAsia="Times New Roman" w:cstheme="minorHAnsi"/>
          <w:lang w:val="en-US" w:eastAsia="nl-NL"/>
        </w:rPr>
        <w:t>Staun</w:t>
      </w:r>
      <w:proofErr w:type="spellEnd"/>
      <w:r w:rsidRPr="000C1D6F">
        <w:rPr>
          <w:rFonts w:eastAsia="Times New Roman" w:cstheme="minorHAnsi"/>
          <w:lang w:val="en-US" w:eastAsia="nl-NL"/>
        </w:rPr>
        <w:t xml:space="preserve"> M, Szczepanek K, Van Gossum A, Schneider SM; Home Artificial Nutrition &amp; Chronic Intestinal Failure Special Interest Group of the European Society for Clinical Nutrition and Metabolism (ESPEN).Clin </w:t>
      </w:r>
      <w:proofErr w:type="spellStart"/>
      <w:r w:rsidRPr="000C1D6F">
        <w:rPr>
          <w:rFonts w:eastAsia="Times New Roman" w:cstheme="minorHAnsi"/>
          <w:lang w:val="en-US" w:eastAsia="nl-NL"/>
        </w:rPr>
        <w:t>Nutr</w:t>
      </w:r>
      <w:proofErr w:type="spellEnd"/>
      <w:r w:rsidRPr="000C1D6F">
        <w:rPr>
          <w:rFonts w:eastAsia="Times New Roman" w:cstheme="minorHAnsi"/>
          <w:lang w:val="en-US" w:eastAsia="nl-NL"/>
        </w:rPr>
        <w:t>. 2018 Dec;37(6 Pt A):1794-1797.</w:t>
      </w:r>
    </w:p>
    <w:p w14:paraId="1266CA70" w14:textId="77777777" w:rsidR="00CF36F9" w:rsidRPr="00CF36F9" w:rsidRDefault="00CF36F9" w:rsidP="00CF36F9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CF36F9">
        <w:rPr>
          <w:rFonts w:eastAsia="Times New Roman" w:cstheme="minorHAnsi"/>
          <w:shd w:val="clear" w:color="auto" w:fill="FFFFFF"/>
          <w:lang w:val="en-US" w:eastAsia="nl-NL"/>
        </w:rPr>
        <w:t> </w:t>
      </w:r>
    </w:p>
    <w:p w14:paraId="0C70DD91" w14:textId="77777777" w:rsidR="00CF36F9" w:rsidRPr="00CF36F9" w:rsidRDefault="0089548A" w:rsidP="00CF36F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  <w:hyperlink r:id="rId13" w:history="1">
        <w:r w:rsidR="00CF36F9" w:rsidRPr="00CF36F9">
          <w:rPr>
            <w:rFonts w:eastAsia="Times New Roman" w:cstheme="minorHAnsi"/>
            <w:lang w:val="en-US" w:eastAsia="nl-NL"/>
          </w:rPr>
          <w:t>Quantitative Ultrasound for Staging of Hepatic Steatosis in Patients on Home Parenteral Nutrition Validated with Magnetic Resonance Spectroscopy: A Feasibility Study.</w:t>
        </w:r>
      </w:hyperlink>
    </w:p>
    <w:p w14:paraId="60F0C3F6" w14:textId="1776FEC7" w:rsidR="00CF36F9" w:rsidRPr="00613DF4" w:rsidRDefault="00CF36F9" w:rsidP="00CF36F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  <w:r w:rsidRPr="00CF36F9">
        <w:rPr>
          <w:rFonts w:eastAsia="Times New Roman" w:cstheme="minorHAnsi"/>
          <w:lang w:eastAsia="nl-NL"/>
        </w:rPr>
        <w:t>Weijers G, Wanten G, Thijssen JM, van der Graaf M, de Korte CL.</w:t>
      </w:r>
      <w:r w:rsidR="001378FA">
        <w:rPr>
          <w:rFonts w:eastAsia="Times New Roman" w:cstheme="minorHAnsi"/>
          <w:lang w:eastAsia="nl-NL"/>
        </w:rPr>
        <w:t xml:space="preserve"> </w:t>
      </w:r>
      <w:r w:rsidRPr="00613DF4">
        <w:rPr>
          <w:rFonts w:eastAsia="Times New Roman" w:cstheme="minorHAnsi"/>
          <w:lang w:val="en-US" w:eastAsia="nl-NL"/>
        </w:rPr>
        <w:t>Ultrasound Med Biol. 2016 Mar;42(3):637-44.</w:t>
      </w:r>
    </w:p>
    <w:p w14:paraId="3D5000F4" w14:textId="77777777" w:rsidR="004A7E3D" w:rsidRPr="00613DF4" w:rsidRDefault="004A7E3D" w:rsidP="006A572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39F0055E" w14:textId="77777777" w:rsidR="00E14957" w:rsidRPr="00E14957" w:rsidRDefault="0089548A" w:rsidP="00E14957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4" w:history="1">
        <w:r w:rsidR="00E14957" w:rsidRPr="00E14957">
          <w:rPr>
            <w:rFonts w:eastAsia="Times New Roman" w:cstheme="minorHAnsi"/>
            <w:shd w:val="clear" w:color="auto" w:fill="FFFFFF"/>
            <w:lang w:val="en-US" w:eastAsia="nl-NL"/>
          </w:rPr>
          <w:t>Parenteral Lipid Tolerance and Adverse Effects: Fat Chance for Trouble?</w:t>
        </w:r>
      </w:hyperlink>
    </w:p>
    <w:p w14:paraId="480AB7B2" w14:textId="31FA625F" w:rsidR="00E14957" w:rsidRPr="00FF1021" w:rsidRDefault="00E14957" w:rsidP="00E14957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  <w:r w:rsidRPr="00FF1021">
        <w:rPr>
          <w:rFonts w:eastAsia="Times New Roman" w:cstheme="minorHAnsi"/>
          <w:lang w:val="en-US" w:eastAsia="nl-NL"/>
        </w:rPr>
        <w:t xml:space="preserve">Wanten GJ.JPEN J </w:t>
      </w:r>
      <w:proofErr w:type="spellStart"/>
      <w:r w:rsidRPr="00FF1021">
        <w:rPr>
          <w:rFonts w:eastAsia="Times New Roman" w:cstheme="minorHAnsi"/>
          <w:lang w:val="en-US" w:eastAsia="nl-NL"/>
        </w:rPr>
        <w:t>Parenter</w:t>
      </w:r>
      <w:proofErr w:type="spellEnd"/>
      <w:r w:rsidRPr="00FF1021">
        <w:rPr>
          <w:rFonts w:eastAsia="Times New Roman" w:cstheme="minorHAnsi"/>
          <w:lang w:val="en-US" w:eastAsia="nl-NL"/>
        </w:rPr>
        <w:t xml:space="preserve"> Enteral </w:t>
      </w:r>
      <w:proofErr w:type="spellStart"/>
      <w:r w:rsidRPr="00FF1021">
        <w:rPr>
          <w:rFonts w:eastAsia="Times New Roman" w:cstheme="minorHAnsi"/>
          <w:lang w:val="en-US" w:eastAsia="nl-NL"/>
        </w:rPr>
        <w:t>Nutr</w:t>
      </w:r>
      <w:proofErr w:type="spellEnd"/>
      <w:r w:rsidRPr="00FF1021">
        <w:rPr>
          <w:rFonts w:eastAsia="Times New Roman" w:cstheme="minorHAnsi"/>
          <w:lang w:val="en-US" w:eastAsia="nl-NL"/>
        </w:rPr>
        <w:t xml:space="preserve">. 2015 Sep;39(1 Suppl):33S-8S. </w:t>
      </w:r>
    </w:p>
    <w:p w14:paraId="2A779242" w14:textId="77777777" w:rsidR="006D2F1C" w:rsidRPr="00FF1021" w:rsidRDefault="006D2F1C" w:rsidP="00E14957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6FFB939D" w14:textId="77777777" w:rsidR="006D2F1C" w:rsidRPr="006D2F1C" w:rsidRDefault="0089548A" w:rsidP="006D2F1C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5" w:history="1">
        <w:r w:rsidR="006D2F1C" w:rsidRPr="006D2F1C">
          <w:rPr>
            <w:rFonts w:eastAsia="Times New Roman" w:cstheme="minorHAnsi"/>
            <w:shd w:val="clear" w:color="auto" w:fill="FFFFFF"/>
            <w:lang w:val="en-US" w:eastAsia="nl-NL"/>
          </w:rPr>
          <w:t>No Clinical or Biochemical Evidence for Essential Fatty Acid Deficiency in Home Patients Who Depend on Long-Term Mixed Olive Oil- and Soybean Oil-Based Parenteral Nutrition.</w:t>
        </w:r>
      </w:hyperlink>
    </w:p>
    <w:p w14:paraId="215AD729" w14:textId="36CA066F" w:rsidR="006D2F1C" w:rsidRPr="00FF1021" w:rsidRDefault="006D2F1C" w:rsidP="006D2F1C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  <w:r w:rsidRPr="00FF1021">
        <w:rPr>
          <w:rFonts w:eastAsia="Times New Roman" w:cstheme="minorHAnsi"/>
          <w:lang w:val="en-US" w:eastAsia="nl-NL"/>
        </w:rPr>
        <w:t xml:space="preserve">Olthof ED, Roelofs HM, Fisk HL, Calder PC, Wanten GJ.JPEN J </w:t>
      </w:r>
      <w:proofErr w:type="spellStart"/>
      <w:r w:rsidRPr="00FF1021">
        <w:rPr>
          <w:rFonts w:eastAsia="Times New Roman" w:cstheme="minorHAnsi"/>
          <w:lang w:val="en-US" w:eastAsia="nl-NL"/>
        </w:rPr>
        <w:t>Parenter</w:t>
      </w:r>
      <w:proofErr w:type="spellEnd"/>
      <w:r w:rsidRPr="00FF1021">
        <w:rPr>
          <w:rFonts w:eastAsia="Times New Roman" w:cstheme="minorHAnsi"/>
          <w:lang w:val="en-US" w:eastAsia="nl-NL"/>
        </w:rPr>
        <w:t xml:space="preserve"> Enteral </w:t>
      </w:r>
      <w:proofErr w:type="spellStart"/>
      <w:r w:rsidRPr="00FF1021">
        <w:rPr>
          <w:rFonts w:eastAsia="Times New Roman" w:cstheme="minorHAnsi"/>
          <w:lang w:val="en-US" w:eastAsia="nl-NL"/>
        </w:rPr>
        <w:t>Nutr</w:t>
      </w:r>
      <w:proofErr w:type="spellEnd"/>
      <w:r w:rsidRPr="00FF1021">
        <w:rPr>
          <w:rFonts w:eastAsia="Times New Roman" w:cstheme="minorHAnsi"/>
          <w:lang w:val="en-US" w:eastAsia="nl-NL"/>
        </w:rPr>
        <w:t xml:space="preserve">. 2016 Sep;40(7):982-8. </w:t>
      </w:r>
    </w:p>
    <w:p w14:paraId="6284F835" w14:textId="77777777" w:rsidR="00054E71" w:rsidRPr="00FF1021" w:rsidRDefault="00054E71" w:rsidP="006A572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7250B05F" w14:textId="760496B4" w:rsidR="00D6130C" w:rsidRPr="00FF1021" w:rsidRDefault="0089548A" w:rsidP="00F47284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6" w:history="1">
        <w:r w:rsidR="00D6130C" w:rsidRPr="00D6130C">
          <w:rPr>
            <w:rFonts w:eastAsia="Times New Roman" w:cstheme="minorHAnsi"/>
            <w:shd w:val="clear" w:color="auto" w:fill="FFFFFF"/>
            <w:lang w:val="en-US" w:eastAsia="nl-NL"/>
          </w:rPr>
          <w:t>Parenteral lipids: safety aspects and toxicity.</w:t>
        </w:r>
      </w:hyperlink>
      <w:r w:rsidR="00F47284">
        <w:rPr>
          <w:rFonts w:eastAsia="Times New Roman" w:cstheme="minorHAnsi"/>
          <w:lang w:val="en-US" w:eastAsia="nl-NL"/>
        </w:rPr>
        <w:t xml:space="preserve"> </w:t>
      </w:r>
      <w:r w:rsidR="00D6130C" w:rsidRPr="00FF1021">
        <w:rPr>
          <w:rFonts w:eastAsia="Times New Roman" w:cstheme="minorHAnsi"/>
          <w:lang w:val="en-US" w:eastAsia="nl-NL"/>
        </w:rPr>
        <w:t xml:space="preserve">Wanten </w:t>
      </w:r>
      <w:proofErr w:type="spellStart"/>
      <w:r w:rsidR="00D6130C" w:rsidRPr="00FF1021">
        <w:rPr>
          <w:rFonts w:eastAsia="Times New Roman" w:cstheme="minorHAnsi"/>
          <w:lang w:val="en-US" w:eastAsia="nl-NL"/>
        </w:rPr>
        <w:t>GJ.World</w:t>
      </w:r>
      <w:proofErr w:type="spellEnd"/>
      <w:r w:rsidR="00D6130C" w:rsidRPr="00FF1021">
        <w:rPr>
          <w:rFonts w:eastAsia="Times New Roman" w:cstheme="minorHAnsi"/>
          <w:lang w:val="en-US" w:eastAsia="nl-NL"/>
        </w:rPr>
        <w:t xml:space="preserve"> Rev </w:t>
      </w:r>
      <w:proofErr w:type="spellStart"/>
      <w:r w:rsidR="00D6130C" w:rsidRPr="00FF1021">
        <w:rPr>
          <w:rFonts w:eastAsia="Times New Roman" w:cstheme="minorHAnsi"/>
          <w:lang w:val="en-US" w:eastAsia="nl-NL"/>
        </w:rPr>
        <w:t>Nutr</w:t>
      </w:r>
      <w:proofErr w:type="spellEnd"/>
      <w:r w:rsidR="00D6130C" w:rsidRPr="00FF1021">
        <w:rPr>
          <w:rFonts w:eastAsia="Times New Roman" w:cstheme="minorHAnsi"/>
          <w:lang w:val="en-US" w:eastAsia="nl-NL"/>
        </w:rPr>
        <w:t xml:space="preserve"> Diet. 2015;112:63-70.</w:t>
      </w:r>
    </w:p>
    <w:p w14:paraId="0DA01CA4" w14:textId="77777777" w:rsidR="00D6130C" w:rsidRPr="00FF1021" w:rsidRDefault="00D6130C" w:rsidP="006A572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7510546E" w14:textId="301257A4" w:rsidR="005D4DE2" w:rsidRPr="00613DF4" w:rsidRDefault="0089548A" w:rsidP="00F47284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7" w:history="1">
        <w:r w:rsidR="005D4DE2" w:rsidRPr="005D4DE2">
          <w:rPr>
            <w:rFonts w:eastAsia="Times New Roman" w:cstheme="minorHAnsi"/>
            <w:shd w:val="clear" w:color="auto" w:fill="FFFFFF"/>
            <w:lang w:val="en-US" w:eastAsia="nl-NL"/>
          </w:rPr>
          <w:t>Managing adult patients who need home parenteral nutrition.</w:t>
        </w:r>
      </w:hyperlink>
      <w:r w:rsidR="00F47284">
        <w:rPr>
          <w:rFonts w:eastAsia="Times New Roman" w:cstheme="minorHAnsi"/>
          <w:lang w:val="en-US" w:eastAsia="nl-NL"/>
        </w:rPr>
        <w:t xml:space="preserve"> </w:t>
      </w:r>
      <w:r w:rsidR="005D4DE2" w:rsidRPr="00613DF4">
        <w:rPr>
          <w:rFonts w:eastAsia="Times New Roman" w:cstheme="minorHAnsi"/>
          <w:lang w:val="en-US" w:eastAsia="nl-NL"/>
        </w:rPr>
        <w:t xml:space="preserve">Wanten G, Calder PC, Forbes A.BMJ. 2011 Mar 18;342:d1447. </w:t>
      </w:r>
    </w:p>
    <w:p w14:paraId="4CB30729" w14:textId="77777777" w:rsidR="00194D4A" w:rsidRPr="00613DF4" w:rsidRDefault="00194D4A" w:rsidP="00F47284">
      <w:pPr>
        <w:spacing w:after="0" w:line="240" w:lineRule="auto"/>
        <w:rPr>
          <w:rFonts w:eastAsia="Times New Roman" w:cstheme="minorHAnsi"/>
          <w:lang w:val="en-US" w:eastAsia="nl-NL"/>
        </w:rPr>
      </w:pPr>
    </w:p>
    <w:p w14:paraId="62089140" w14:textId="09D7C446" w:rsidR="00194D4A" w:rsidRPr="00492D0B" w:rsidRDefault="00492D0B" w:rsidP="00F47284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492D0B">
        <w:rPr>
          <w:rFonts w:eastAsia="Times New Roman" w:cstheme="minorHAnsi"/>
          <w:lang w:val="en-US" w:eastAsia="nl-NL"/>
        </w:rPr>
        <w:t>Intestinal failure-associated liver d</w:t>
      </w:r>
      <w:r>
        <w:rPr>
          <w:rFonts w:eastAsia="Times New Roman" w:cstheme="minorHAnsi"/>
          <w:lang w:val="en-US" w:eastAsia="nl-NL"/>
        </w:rPr>
        <w:t>isease: Current challenges in screening, diagnosis</w:t>
      </w:r>
      <w:r w:rsidR="006518EA">
        <w:rPr>
          <w:rFonts w:eastAsia="Times New Roman" w:cstheme="minorHAnsi"/>
          <w:lang w:val="en-US" w:eastAsia="nl-NL"/>
        </w:rPr>
        <w:t xml:space="preserve">, and parenteral nutrition considerations. </w:t>
      </w:r>
      <w:proofErr w:type="spellStart"/>
      <w:r w:rsidR="006518EA">
        <w:rPr>
          <w:rFonts w:eastAsia="Times New Roman" w:cstheme="minorHAnsi"/>
          <w:lang w:val="en-US" w:eastAsia="nl-NL"/>
        </w:rPr>
        <w:t>Tabone</w:t>
      </w:r>
      <w:proofErr w:type="spellEnd"/>
      <w:r w:rsidR="006518EA">
        <w:rPr>
          <w:rFonts w:eastAsia="Times New Roman" w:cstheme="minorHAnsi"/>
          <w:lang w:val="en-US" w:eastAsia="nl-NL"/>
        </w:rPr>
        <w:t xml:space="preserve"> T, Mooney P, Donnellan C. </w:t>
      </w:r>
      <w:proofErr w:type="spellStart"/>
      <w:r w:rsidR="001378FA">
        <w:rPr>
          <w:rFonts w:eastAsia="Times New Roman" w:cstheme="minorHAnsi"/>
          <w:lang w:val="en-US" w:eastAsia="nl-NL"/>
        </w:rPr>
        <w:t>Nutr</w:t>
      </w:r>
      <w:proofErr w:type="spellEnd"/>
      <w:r w:rsidR="001378FA">
        <w:rPr>
          <w:rFonts w:eastAsia="Times New Roman" w:cstheme="minorHAnsi"/>
          <w:lang w:val="en-US" w:eastAsia="nl-NL"/>
        </w:rPr>
        <w:t xml:space="preserve"> Clin </w:t>
      </w:r>
      <w:proofErr w:type="spellStart"/>
      <w:r w:rsidR="001378FA">
        <w:rPr>
          <w:rFonts w:eastAsia="Times New Roman" w:cstheme="minorHAnsi"/>
          <w:lang w:val="en-US" w:eastAsia="nl-NL"/>
        </w:rPr>
        <w:t>Pract</w:t>
      </w:r>
      <w:proofErr w:type="spellEnd"/>
      <w:r w:rsidR="001378FA">
        <w:rPr>
          <w:rFonts w:eastAsia="Times New Roman" w:cstheme="minorHAnsi"/>
          <w:lang w:val="en-US" w:eastAsia="nl-NL"/>
        </w:rPr>
        <w:t xml:space="preserve"> 2024;1-23</w:t>
      </w:r>
    </w:p>
    <w:p w14:paraId="1B3300D3" w14:textId="77777777" w:rsidR="005D4DE2" w:rsidRPr="00492D0B" w:rsidRDefault="005D4DE2" w:rsidP="006A5729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sectPr w:rsidR="005D4DE2" w:rsidRPr="0049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372"/>
    <w:multiLevelType w:val="hybridMultilevel"/>
    <w:tmpl w:val="F8628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11E4"/>
    <w:multiLevelType w:val="hybridMultilevel"/>
    <w:tmpl w:val="36D8601E"/>
    <w:lvl w:ilvl="0" w:tplc="2716F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9B6"/>
    <w:multiLevelType w:val="hybridMultilevel"/>
    <w:tmpl w:val="527A7F1C"/>
    <w:lvl w:ilvl="0" w:tplc="8DF8F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384F"/>
    <w:multiLevelType w:val="hybridMultilevel"/>
    <w:tmpl w:val="E4CCF746"/>
    <w:lvl w:ilvl="0" w:tplc="2716F9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200E5A"/>
    <w:multiLevelType w:val="hybridMultilevel"/>
    <w:tmpl w:val="78A6F5AE"/>
    <w:lvl w:ilvl="0" w:tplc="2716F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F31B0"/>
    <w:multiLevelType w:val="hybridMultilevel"/>
    <w:tmpl w:val="2A3A6A48"/>
    <w:lvl w:ilvl="0" w:tplc="2716F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17EC2"/>
    <w:multiLevelType w:val="hybridMultilevel"/>
    <w:tmpl w:val="65805B42"/>
    <w:lvl w:ilvl="0" w:tplc="2716F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24503">
    <w:abstractNumId w:val="2"/>
  </w:num>
  <w:num w:numId="2" w16cid:durableId="1693338946">
    <w:abstractNumId w:val="5"/>
  </w:num>
  <w:num w:numId="3" w16cid:durableId="2070419762">
    <w:abstractNumId w:val="4"/>
  </w:num>
  <w:num w:numId="4" w16cid:durableId="1586305679">
    <w:abstractNumId w:val="1"/>
  </w:num>
  <w:num w:numId="5" w16cid:durableId="1690764607">
    <w:abstractNumId w:val="0"/>
  </w:num>
  <w:num w:numId="6" w16cid:durableId="122575542">
    <w:abstractNumId w:val="6"/>
  </w:num>
  <w:num w:numId="7" w16cid:durableId="1948392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96"/>
    <w:rsid w:val="0001204D"/>
    <w:rsid w:val="0002122D"/>
    <w:rsid w:val="0003366D"/>
    <w:rsid w:val="00052B97"/>
    <w:rsid w:val="00054E71"/>
    <w:rsid w:val="000B02F3"/>
    <w:rsid w:val="000B760E"/>
    <w:rsid w:val="000C1D6F"/>
    <w:rsid w:val="000C2D5B"/>
    <w:rsid w:val="00122116"/>
    <w:rsid w:val="0012532F"/>
    <w:rsid w:val="00126445"/>
    <w:rsid w:val="001378FA"/>
    <w:rsid w:val="00142C72"/>
    <w:rsid w:val="00155016"/>
    <w:rsid w:val="0016539E"/>
    <w:rsid w:val="00171683"/>
    <w:rsid w:val="0017498F"/>
    <w:rsid w:val="00186898"/>
    <w:rsid w:val="00194D4A"/>
    <w:rsid w:val="001962FB"/>
    <w:rsid w:val="001C2266"/>
    <w:rsid w:val="001C284E"/>
    <w:rsid w:val="001C7E90"/>
    <w:rsid w:val="001D3922"/>
    <w:rsid w:val="001E27CF"/>
    <w:rsid w:val="001E3E4B"/>
    <w:rsid w:val="00202AF7"/>
    <w:rsid w:val="00214003"/>
    <w:rsid w:val="002334EA"/>
    <w:rsid w:val="00276577"/>
    <w:rsid w:val="002A089A"/>
    <w:rsid w:val="002A4DE3"/>
    <w:rsid w:val="002A76C6"/>
    <w:rsid w:val="002A7D4A"/>
    <w:rsid w:val="002B1810"/>
    <w:rsid w:val="002B1D2E"/>
    <w:rsid w:val="002D768F"/>
    <w:rsid w:val="002E1E71"/>
    <w:rsid w:val="002F0D0C"/>
    <w:rsid w:val="003016D9"/>
    <w:rsid w:val="00303C2B"/>
    <w:rsid w:val="00312579"/>
    <w:rsid w:val="00313BD4"/>
    <w:rsid w:val="0032508A"/>
    <w:rsid w:val="00331607"/>
    <w:rsid w:val="00332CC7"/>
    <w:rsid w:val="0033627C"/>
    <w:rsid w:val="00354DC8"/>
    <w:rsid w:val="00363A30"/>
    <w:rsid w:val="003720AC"/>
    <w:rsid w:val="00386497"/>
    <w:rsid w:val="0038661A"/>
    <w:rsid w:val="00390848"/>
    <w:rsid w:val="003B0941"/>
    <w:rsid w:val="003E672A"/>
    <w:rsid w:val="003E75EB"/>
    <w:rsid w:val="003F535C"/>
    <w:rsid w:val="004044F8"/>
    <w:rsid w:val="00407DB3"/>
    <w:rsid w:val="0041352D"/>
    <w:rsid w:val="00427C18"/>
    <w:rsid w:val="00437C5B"/>
    <w:rsid w:val="00442846"/>
    <w:rsid w:val="00444E2A"/>
    <w:rsid w:val="004463F9"/>
    <w:rsid w:val="00461885"/>
    <w:rsid w:val="0048049B"/>
    <w:rsid w:val="00492D0B"/>
    <w:rsid w:val="004A31BE"/>
    <w:rsid w:val="004A7E3D"/>
    <w:rsid w:val="004C7381"/>
    <w:rsid w:val="004D4C07"/>
    <w:rsid w:val="004F7202"/>
    <w:rsid w:val="00536B03"/>
    <w:rsid w:val="00541DEB"/>
    <w:rsid w:val="00544B36"/>
    <w:rsid w:val="00582E60"/>
    <w:rsid w:val="005836BC"/>
    <w:rsid w:val="00586D18"/>
    <w:rsid w:val="00586FD3"/>
    <w:rsid w:val="005901A7"/>
    <w:rsid w:val="00590D3C"/>
    <w:rsid w:val="00594329"/>
    <w:rsid w:val="005A3147"/>
    <w:rsid w:val="005B751D"/>
    <w:rsid w:val="005D4DE2"/>
    <w:rsid w:val="005D7EDD"/>
    <w:rsid w:val="005E5822"/>
    <w:rsid w:val="005F2969"/>
    <w:rsid w:val="00600C2E"/>
    <w:rsid w:val="006051F1"/>
    <w:rsid w:val="00606398"/>
    <w:rsid w:val="00612C11"/>
    <w:rsid w:val="00613DF4"/>
    <w:rsid w:val="00617636"/>
    <w:rsid w:val="00630896"/>
    <w:rsid w:val="00632D82"/>
    <w:rsid w:val="00645F10"/>
    <w:rsid w:val="00645F24"/>
    <w:rsid w:val="0064657A"/>
    <w:rsid w:val="006518EA"/>
    <w:rsid w:val="00666CE1"/>
    <w:rsid w:val="0067182C"/>
    <w:rsid w:val="00676250"/>
    <w:rsid w:val="006A5729"/>
    <w:rsid w:val="006B4DB4"/>
    <w:rsid w:val="006D1BA2"/>
    <w:rsid w:val="006D1D44"/>
    <w:rsid w:val="006D2F1C"/>
    <w:rsid w:val="006D33E1"/>
    <w:rsid w:val="006E4AD7"/>
    <w:rsid w:val="006E6573"/>
    <w:rsid w:val="007035E2"/>
    <w:rsid w:val="0070585A"/>
    <w:rsid w:val="00725080"/>
    <w:rsid w:val="00732DAB"/>
    <w:rsid w:val="00740A6D"/>
    <w:rsid w:val="00744D18"/>
    <w:rsid w:val="00783D8F"/>
    <w:rsid w:val="007846E4"/>
    <w:rsid w:val="00784C20"/>
    <w:rsid w:val="007854D4"/>
    <w:rsid w:val="00792290"/>
    <w:rsid w:val="007A2164"/>
    <w:rsid w:val="007B78F9"/>
    <w:rsid w:val="007C3EDD"/>
    <w:rsid w:val="007D4CAF"/>
    <w:rsid w:val="007F1401"/>
    <w:rsid w:val="00800187"/>
    <w:rsid w:val="00804511"/>
    <w:rsid w:val="00815BB4"/>
    <w:rsid w:val="008234F4"/>
    <w:rsid w:val="00824ABF"/>
    <w:rsid w:val="0083063F"/>
    <w:rsid w:val="00831EAD"/>
    <w:rsid w:val="008329E2"/>
    <w:rsid w:val="00845C07"/>
    <w:rsid w:val="00863F41"/>
    <w:rsid w:val="00870D62"/>
    <w:rsid w:val="00893211"/>
    <w:rsid w:val="008942F4"/>
    <w:rsid w:val="0089548A"/>
    <w:rsid w:val="008C1F5F"/>
    <w:rsid w:val="008C24F1"/>
    <w:rsid w:val="008F62CF"/>
    <w:rsid w:val="00905ED8"/>
    <w:rsid w:val="009102FF"/>
    <w:rsid w:val="00910F77"/>
    <w:rsid w:val="00941C07"/>
    <w:rsid w:val="00942BFE"/>
    <w:rsid w:val="00987099"/>
    <w:rsid w:val="00990BD1"/>
    <w:rsid w:val="00990D00"/>
    <w:rsid w:val="00991FF7"/>
    <w:rsid w:val="009A2F41"/>
    <w:rsid w:val="009C6613"/>
    <w:rsid w:val="009D2E54"/>
    <w:rsid w:val="009F0ACA"/>
    <w:rsid w:val="009F44A8"/>
    <w:rsid w:val="009F4B9F"/>
    <w:rsid w:val="00A00480"/>
    <w:rsid w:val="00A041E0"/>
    <w:rsid w:val="00A12035"/>
    <w:rsid w:val="00A34034"/>
    <w:rsid w:val="00A438A7"/>
    <w:rsid w:val="00A50112"/>
    <w:rsid w:val="00A73936"/>
    <w:rsid w:val="00A816CD"/>
    <w:rsid w:val="00A842C6"/>
    <w:rsid w:val="00A90736"/>
    <w:rsid w:val="00A920D5"/>
    <w:rsid w:val="00AA2F8E"/>
    <w:rsid w:val="00AA603C"/>
    <w:rsid w:val="00AC1205"/>
    <w:rsid w:val="00AD5BB7"/>
    <w:rsid w:val="00AE4206"/>
    <w:rsid w:val="00B046AB"/>
    <w:rsid w:val="00B36E06"/>
    <w:rsid w:val="00B5428F"/>
    <w:rsid w:val="00B556FF"/>
    <w:rsid w:val="00B765CE"/>
    <w:rsid w:val="00B902C6"/>
    <w:rsid w:val="00B9293E"/>
    <w:rsid w:val="00B96A08"/>
    <w:rsid w:val="00BA4914"/>
    <w:rsid w:val="00BB7CC3"/>
    <w:rsid w:val="00BC4B86"/>
    <w:rsid w:val="00BD2634"/>
    <w:rsid w:val="00BE132E"/>
    <w:rsid w:val="00BF20CE"/>
    <w:rsid w:val="00C15051"/>
    <w:rsid w:val="00C20C97"/>
    <w:rsid w:val="00C248DB"/>
    <w:rsid w:val="00C32969"/>
    <w:rsid w:val="00C42F62"/>
    <w:rsid w:val="00C4614A"/>
    <w:rsid w:val="00C46B14"/>
    <w:rsid w:val="00C6019E"/>
    <w:rsid w:val="00C72193"/>
    <w:rsid w:val="00C76938"/>
    <w:rsid w:val="00C8447F"/>
    <w:rsid w:val="00C8616C"/>
    <w:rsid w:val="00CA6906"/>
    <w:rsid w:val="00CC7945"/>
    <w:rsid w:val="00CD320E"/>
    <w:rsid w:val="00CF0EE7"/>
    <w:rsid w:val="00CF36F9"/>
    <w:rsid w:val="00D0481C"/>
    <w:rsid w:val="00D0708B"/>
    <w:rsid w:val="00D363D1"/>
    <w:rsid w:val="00D50D1B"/>
    <w:rsid w:val="00D55A15"/>
    <w:rsid w:val="00D60826"/>
    <w:rsid w:val="00D6130C"/>
    <w:rsid w:val="00D76829"/>
    <w:rsid w:val="00D80C28"/>
    <w:rsid w:val="00DA4F9E"/>
    <w:rsid w:val="00DA5BF2"/>
    <w:rsid w:val="00DC300A"/>
    <w:rsid w:val="00DD078B"/>
    <w:rsid w:val="00DE5FAC"/>
    <w:rsid w:val="00E00A94"/>
    <w:rsid w:val="00E05D22"/>
    <w:rsid w:val="00E14957"/>
    <w:rsid w:val="00E15C1A"/>
    <w:rsid w:val="00E24FF1"/>
    <w:rsid w:val="00E50A75"/>
    <w:rsid w:val="00E66F42"/>
    <w:rsid w:val="00E744D7"/>
    <w:rsid w:val="00E769B9"/>
    <w:rsid w:val="00E8386B"/>
    <w:rsid w:val="00E93DF7"/>
    <w:rsid w:val="00E97C17"/>
    <w:rsid w:val="00EB1935"/>
    <w:rsid w:val="00EB3A47"/>
    <w:rsid w:val="00EC6BC3"/>
    <w:rsid w:val="00ED3C93"/>
    <w:rsid w:val="00EF0064"/>
    <w:rsid w:val="00EF56D0"/>
    <w:rsid w:val="00F035E8"/>
    <w:rsid w:val="00F05D5C"/>
    <w:rsid w:val="00F17823"/>
    <w:rsid w:val="00F274D5"/>
    <w:rsid w:val="00F3109D"/>
    <w:rsid w:val="00F40F10"/>
    <w:rsid w:val="00F47284"/>
    <w:rsid w:val="00F55D93"/>
    <w:rsid w:val="00F62FAD"/>
    <w:rsid w:val="00F71780"/>
    <w:rsid w:val="00F735BF"/>
    <w:rsid w:val="00F803D1"/>
    <w:rsid w:val="00F815B8"/>
    <w:rsid w:val="00FB7F4E"/>
    <w:rsid w:val="00FC1B3C"/>
    <w:rsid w:val="00FD54EC"/>
    <w:rsid w:val="00FD58F8"/>
    <w:rsid w:val="00FE336E"/>
    <w:rsid w:val="00FE345A"/>
    <w:rsid w:val="00FF1021"/>
    <w:rsid w:val="00FF1E34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2D2E"/>
  <w15:chartTrackingRefBased/>
  <w15:docId w15:val="{ED42CC07-17F9-4FEB-8FA4-CD45E50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6796121/" TargetMode="External"/><Relationship Id="rId13" Type="http://schemas.openxmlformats.org/officeDocument/2006/relationships/hyperlink" Target="https://pubmed.ncbi.nlm.nih.gov/2671241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7639741/" TargetMode="External"/><Relationship Id="rId12" Type="http://schemas.openxmlformats.org/officeDocument/2006/relationships/hyperlink" Target="https://pubmed.ncbi.nlm.nih.gov/30017241/" TargetMode="External"/><Relationship Id="rId17" Type="http://schemas.openxmlformats.org/officeDocument/2006/relationships/hyperlink" Target="https://pubmed.ncbi.nlm.nih.gov/2142166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547180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4864457/" TargetMode="External"/><Relationship Id="rId11" Type="http://schemas.openxmlformats.org/officeDocument/2006/relationships/hyperlink" Target="https://pubmed.ncbi.nlm.nih.gov/30937931/" TargetMode="External"/><Relationship Id="rId5" Type="http://schemas.openxmlformats.org/officeDocument/2006/relationships/hyperlink" Target="https://pubmed.ncbi.nlm.nih.gov/32758383/" TargetMode="External"/><Relationship Id="rId15" Type="http://schemas.openxmlformats.org/officeDocument/2006/relationships/hyperlink" Target="https://pubmed.ncbi.nlm.nih.gov/25888677/" TargetMode="External"/><Relationship Id="rId10" Type="http://schemas.openxmlformats.org/officeDocument/2006/relationships/hyperlink" Target="https://pubmed.ncbi.nlm.nih.gov/3107579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1342540/" TargetMode="External"/><Relationship Id="rId14" Type="http://schemas.openxmlformats.org/officeDocument/2006/relationships/hyperlink" Target="https://pubmed.ncbi.nlm.nih.gov/26177663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1530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Wanten, Geert</dc:creator>
  <cp:keywords/>
  <dc:description/>
  <cp:lastModifiedBy>Wanten, Geert</cp:lastModifiedBy>
  <cp:revision>74</cp:revision>
  <dcterms:created xsi:type="dcterms:W3CDTF">2024-01-19T12:59:00Z</dcterms:created>
  <dcterms:modified xsi:type="dcterms:W3CDTF">2024-02-06T09:10:00Z</dcterms:modified>
</cp:coreProperties>
</file>